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4522" w14:textId="77777777" w:rsidR="001C4690" w:rsidRDefault="001C4690" w:rsidP="00EC6425">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707"/>
        <w:gridCol w:w="8013"/>
      </w:tblGrid>
      <w:tr w:rsidR="0047617F" w:rsidRPr="0047617F" w14:paraId="36DDDDB3" w14:textId="77777777" w:rsidTr="0047617F">
        <w:tc>
          <w:tcPr>
            <w:tcW w:w="1710" w:type="dxa"/>
            <w:tcBorders>
              <w:bottom w:val="single" w:sz="18" w:space="0" w:color="auto"/>
            </w:tcBorders>
            <w:shd w:val="clear" w:color="auto" w:fill="A6A6A6" w:themeFill="background1" w:themeFillShade="A6"/>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tblGrid>
            <w:tr w:rsidR="0047617F" w:rsidRPr="0047617F" w14:paraId="407E9BD2" w14:textId="77777777" w:rsidTr="0047617F">
              <w:tc>
                <w:tcPr>
                  <w:tcW w:w="1710" w:type="dxa"/>
                  <w:shd w:val="clear" w:color="auto" w:fill="auto"/>
                </w:tcPr>
                <w:bookmarkEnd w:id="0"/>
                <w:p w14:paraId="1E731879" w14:textId="77777777" w:rsidR="0047617F" w:rsidRPr="0047617F" w:rsidRDefault="0047617F" w:rsidP="0047617F">
                  <w:pPr>
                    <w:ind w:left="-108" w:right="-9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B</w:t>
                  </w:r>
                  <w:r w:rsidR="00C44D91">
                    <w:rPr>
                      <w:rFonts w:asciiTheme="minorHAnsi" w:hAnsiTheme="minorHAnsi" w:cs="Arial"/>
                      <w:b/>
                      <w:color w:val="FFFFFF" w:themeColor="background1"/>
                      <w:sz w:val="22"/>
                      <w:szCs w:val="22"/>
                    </w:rPr>
                    <w:t>ACKGROUND</w:t>
                  </w:r>
                </w:p>
              </w:tc>
            </w:tr>
          </w:tbl>
          <w:p w14:paraId="542C942A" w14:textId="77777777" w:rsidR="0047617F" w:rsidRPr="0047617F" w:rsidRDefault="0047617F">
            <w:pPr>
              <w:rPr>
                <w:color w:val="FFFFFF" w:themeColor="background1"/>
              </w:rPr>
            </w:pPr>
          </w:p>
        </w:tc>
        <w:tc>
          <w:tcPr>
            <w:tcW w:w="8100" w:type="dxa"/>
            <w:tcBorders>
              <w:bottom w:val="single" w:sz="18" w:space="0" w:color="auto"/>
            </w:tcBorders>
            <w:shd w:val="clear" w:color="auto" w:fill="auto"/>
          </w:tcPr>
          <w:p w14:paraId="4D3CF708" w14:textId="77777777" w:rsidR="0047617F" w:rsidRDefault="0047617F" w:rsidP="0047617F">
            <w:pPr>
              <w:ind w:left="-108" w:right="-90"/>
              <w:rPr>
                <w:rFonts w:asciiTheme="minorHAnsi" w:hAnsiTheme="minorHAnsi" w:cs="Arial"/>
                <w:b/>
                <w:color w:val="FFFFFF" w:themeColor="background1"/>
                <w:sz w:val="22"/>
                <w:szCs w:val="22"/>
              </w:rPr>
            </w:pPr>
          </w:p>
        </w:tc>
      </w:tr>
    </w:tbl>
    <w:p w14:paraId="788EF62A" w14:textId="77777777" w:rsidR="005870C3" w:rsidRDefault="005870C3" w:rsidP="00EC6425">
      <w:pPr>
        <w:pStyle w:val="BodyText2"/>
        <w:ind w:right="-90"/>
        <w:rPr>
          <w:rFonts w:asciiTheme="minorHAnsi" w:hAnsiTheme="minorHAnsi"/>
          <w:b w:val="0"/>
          <w:sz w:val="22"/>
          <w:szCs w:val="22"/>
        </w:rPr>
      </w:pPr>
      <w:r>
        <w:rPr>
          <w:rFonts w:asciiTheme="minorHAnsi" w:hAnsiTheme="minorHAnsi"/>
          <w:b w:val="0"/>
          <w:sz w:val="22"/>
          <w:szCs w:val="22"/>
        </w:rPr>
        <w:t>Maintaining accurate daily cash balances is a fundamental part of any accounting process.  Without an accurate daily cash balance by Statutory Fund, the State would not be able to meet its basic financial reporting requirements, would not receive a clean audit opinion, and would lose Federal funding.</w:t>
      </w:r>
    </w:p>
    <w:p w14:paraId="1F8696CE" w14:textId="77777777" w:rsidR="005870C3" w:rsidRDefault="005870C3" w:rsidP="00EC6425">
      <w:pPr>
        <w:pStyle w:val="BodyText2"/>
        <w:ind w:right="-90"/>
        <w:rPr>
          <w:rFonts w:asciiTheme="minorHAnsi" w:hAnsiTheme="minorHAnsi"/>
          <w:b w:val="0"/>
          <w:sz w:val="22"/>
          <w:szCs w:val="22"/>
        </w:rPr>
      </w:pPr>
    </w:p>
    <w:p w14:paraId="095425E5" w14:textId="77777777" w:rsidR="00C06FFD" w:rsidRDefault="005870C3" w:rsidP="00EC6425">
      <w:pPr>
        <w:pStyle w:val="BodyText2"/>
        <w:ind w:right="-90"/>
        <w:rPr>
          <w:rFonts w:asciiTheme="minorHAnsi" w:hAnsiTheme="minorHAnsi"/>
          <w:b w:val="0"/>
          <w:sz w:val="22"/>
          <w:szCs w:val="22"/>
        </w:rPr>
      </w:pPr>
      <w:r>
        <w:rPr>
          <w:rFonts w:asciiTheme="minorHAnsi" w:hAnsiTheme="minorHAnsi"/>
          <w:b w:val="0"/>
          <w:sz w:val="22"/>
          <w:szCs w:val="22"/>
        </w:rPr>
        <w:t xml:space="preserve">Therefore, it is essential that the processes used to record cash receipts and disbursements into </w:t>
      </w:r>
      <w:r w:rsidR="007A4CF1">
        <w:rPr>
          <w:rFonts w:asciiTheme="minorHAnsi" w:hAnsiTheme="minorHAnsi"/>
          <w:b w:val="0"/>
          <w:sz w:val="22"/>
          <w:szCs w:val="22"/>
        </w:rPr>
        <w:t>STAR</w:t>
      </w:r>
      <w:r>
        <w:rPr>
          <w:rFonts w:asciiTheme="minorHAnsi" w:hAnsiTheme="minorHAnsi"/>
          <w:b w:val="0"/>
          <w:sz w:val="22"/>
          <w:szCs w:val="22"/>
        </w:rPr>
        <w:t xml:space="preserve"> are closely-connected to the actual deposit and withdrawal of cash from the State’s bank accounts.</w:t>
      </w:r>
    </w:p>
    <w:p w14:paraId="7C3E797C" w14:textId="77777777" w:rsidR="00EC6425" w:rsidRDefault="00EC6425" w:rsidP="00EC6425">
      <w:pPr>
        <w:pStyle w:val="BodyText2"/>
        <w:ind w:right="-9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702"/>
        <w:gridCol w:w="8018"/>
      </w:tblGrid>
      <w:tr w:rsidR="0047617F" w:rsidRPr="0047617F" w14:paraId="167E1CBF" w14:textId="77777777" w:rsidTr="0047617F">
        <w:tc>
          <w:tcPr>
            <w:tcW w:w="1710" w:type="dxa"/>
            <w:tcBorders>
              <w:bottom w:val="single" w:sz="18" w:space="0" w:color="auto"/>
            </w:tcBorders>
            <w:shd w:val="clear" w:color="auto" w:fill="A6A6A6" w:themeFill="background1" w:themeFillShade="A6"/>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tblGrid>
            <w:tr w:rsidR="0047617F" w:rsidRPr="0047617F" w14:paraId="195A47A3" w14:textId="77777777" w:rsidTr="00B8020D">
              <w:tc>
                <w:tcPr>
                  <w:tcW w:w="1494" w:type="dxa"/>
                  <w:shd w:val="clear" w:color="auto" w:fill="auto"/>
                </w:tcPr>
                <w:p w14:paraId="03C78C34" w14:textId="77777777" w:rsidR="0047617F" w:rsidRPr="0047617F" w:rsidRDefault="0047617F" w:rsidP="00B8020D">
                  <w:pPr>
                    <w:ind w:left="-108" w:right="-9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P</w:t>
                  </w:r>
                  <w:r w:rsidR="00C44D91">
                    <w:rPr>
                      <w:rFonts w:asciiTheme="minorHAnsi" w:hAnsiTheme="minorHAnsi" w:cs="Arial"/>
                      <w:b/>
                      <w:color w:val="FFFFFF" w:themeColor="background1"/>
                      <w:sz w:val="22"/>
                      <w:szCs w:val="22"/>
                    </w:rPr>
                    <w:t>OLICIES</w:t>
                  </w:r>
                </w:p>
              </w:tc>
            </w:tr>
          </w:tbl>
          <w:p w14:paraId="377AFA27" w14:textId="77777777" w:rsidR="0047617F" w:rsidRPr="0047617F" w:rsidRDefault="0047617F" w:rsidP="00B8020D">
            <w:pPr>
              <w:rPr>
                <w:color w:val="FFFFFF" w:themeColor="background1"/>
              </w:rPr>
            </w:pPr>
          </w:p>
        </w:tc>
        <w:tc>
          <w:tcPr>
            <w:tcW w:w="8100" w:type="dxa"/>
            <w:tcBorders>
              <w:bottom w:val="single" w:sz="18" w:space="0" w:color="auto"/>
            </w:tcBorders>
            <w:shd w:val="clear" w:color="auto" w:fill="auto"/>
          </w:tcPr>
          <w:p w14:paraId="03DB7E04" w14:textId="77777777" w:rsidR="0047617F" w:rsidRDefault="0047617F" w:rsidP="00B8020D">
            <w:pPr>
              <w:ind w:left="-108" w:right="-90"/>
              <w:rPr>
                <w:rFonts w:asciiTheme="minorHAnsi" w:hAnsiTheme="minorHAnsi" w:cs="Arial"/>
                <w:b/>
                <w:color w:val="FFFFFF" w:themeColor="background1"/>
                <w:sz w:val="22"/>
                <w:szCs w:val="22"/>
              </w:rPr>
            </w:pPr>
          </w:p>
        </w:tc>
      </w:tr>
    </w:tbl>
    <w:p w14:paraId="7F219530" w14:textId="3C6B83C7" w:rsidR="00EC6425" w:rsidRDefault="00D65AA6" w:rsidP="00EC6425">
      <w:pPr>
        <w:pStyle w:val="ListParagraph"/>
        <w:numPr>
          <w:ilvl w:val="0"/>
          <w:numId w:val="16"/>
        </w:numPr>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maintain accurate daily cash balances by Statutory Fund, d</w:t>
      </w:r>
      <w:r w:rsidR="00C06FFD">
        <w:rPr>
          <w:rFonts w:asciiTheme="minorHAnsi" w:hAnsiTheme="minorHAnsi"/>
          <w:sz w:val="22"/>
          <w:szCs w:val="22"/>
        </w:rPr>
        <w:t xml:space="preserve">eposit transactions must be processed in </w:t>
      </w:r>
      <w:r w:rsidR="007A4CF1">
        <w:rPr>
          <w:rFonts w:asciiTheme="minorHAnsi" w:hAnsiTheme="minorHAnsi"/>
          <w:sz w:val="22"/>
          <w:szCs w:val="22"/>
        </w:rPr>
        <w:t>STAR</w:t>
      </w:r>
      <w:r w:rsidR="00C06FFD">
        <w:rPr>
          <w:rFonts w:asciiTheme="minorHAnsi" w:hAnsiTheme="minorHAnsi"/>
          <w:sz w:val="22"/>
          <w:szCs w:val="22"/>
        </w:rPr>
        <w:t xml:space="preserve"> on the day the deposit is </w:t>
      </w:r>
      <w:r w:rsidR="00063112">
        <w:rPr>
          <w:rFonts w:asciiTheme="minorHAnsi" w:hAnsiTheme="minorHAnsi"/>
          <w:sz w:val="22"/>
          <w:szCs w:val="22"/>
        </w:rPr>
        <w:t>posted</w:t>
      </w:r>
      <w:r w:rsidR="00C06FFD">
        <w:rPr>
          <w:rFonts w:asciiTheme="minorHAnsi" w:hAnsiTheme="minorHAnsi"/>
          <w:sz w:val="22"/>
          <w:szCs w:val="22"/>
        </w:rPr>
        <w:t xml:space="preserve"> to the bank account.</w:t>
      </w:r>
    </w:p>
    <w:p w14:paraId="46654F6B" w14:textId="77777777" w:rsidR="00FE31C2" w:rsidRDefault="00467CC5" w:rsidP="00EC6425">
      <w:pPr>
        <w:pStyle w:val="ListParagraph"/>
        <w:numPr>
          <w:ilvl w:val="0"/>
          <w:numId w:val="16"/>
        </w:numPr>
        <w:rPr>
          <w:rFonts w:asciiTheme="minorHAnsi" w:hAnsiTheme="minorHAnsi"/>
          <w:sz w:val="22"/>
          <w:szCs w:val="22"/>
        </w:rPr>
      </w:pPr>
      <w:r w:rsidRPr="00FE31C2">
        <w:rPr>
          <w:rFonts w:asciiTheme="minorHAnsi" w:hAnsiTheme="minorHAnsi"/>
          <w:sz w:val="22"/>
          <w:szCs w:val="22"/>
        </w:rPr>
        <w:t xml:space="preserve">Agencies </w:t>
      </w:r>
      <w:r w:rsidR="00FE31C2" w:rsidRPr="00FE31C2">
        <w:rPr>
          <w:rFonts w:asciiTheme="minorHAnsi" w:hAnsiTheme="minorHAnsi"/>
          <w:sz w:val="22"/>
          <w:szCs w:val="22"/>
        </w:rPr>
        <w:t>must not interfac</w:t>
      </w:r>
      <w:r w:rsidR="00FB02FD">
        <w:rPr>
          <w:rFonts w:asciiTheme="minorHAnsi" w:hAnsiTheme="minorHAnsi"/>
          <w:sz w:val="22"/>
          <w:szCs w:val="22"/>
        </w:rPr>
        <w:t xml:space="preserve">e general ledger </w:t>
      </w:r>
      <w:r w:rsidR="00FE31C2" w:rsidRPr="00FE31C2">
        <w:rPr>
          <w:rFonts w:asciiTheme="minorHAnsi" w:hAnsiTheme="minorHAnsi"/>
          <w:sz w:val="22"/>
          <w:szCs w:val="22"/>
        </w:rPr>
        <w:t>transactions that debit or credit cash</w:t>
      </w:r>
      <w:r w:rsidR="00FB02FD">
        <w:rPr>
          <w:rFonts w:asciiTheme="minorHAnsi" w:hAnsiTheme="minorHAnsi"/>
          <w:sz w:val="22"/>
          <w:szCs w:val="22"/>
        </w:rPr>
        <w:t xml:space="preserve"> via GL_INT_001</w:t>
      </w:r>
      <w:r w:rsidR="00FE31C2" w:rsidRPr="00FE31C2">
        <w:rPr>
          <w:rFonts w:asciiTheme="minorHAnsi" w:hAnsiTheme="minorHAnsi"/>
          <w:sz w:val="22"/>
          <w:szCs w:val="22"/>
        </w:rPr>
        <w:t xml:space="preserve">.  </w:t>
      </w:r>
      <w:r w:rsidR="00FB02FD">
        <w:rPr>
          <w:rFonts w:asciiTheme="minorHAnsi" w:hAnsiTheme="minorHAnsi"/>
          <w:sz w:val="22"/>
          <w:szCs w:val="22"/>
        </w:rPr>
        <w:t xml:space="preserve">Interfaced deposit transactions </w:t>
      </w:r>
      <w:r w:rsidR="00FB02FD">
        <w:rPr>
          <w:rFonts w:asciiTheme="minorHAnsi" w:hAnsiTheme="minorHAnsi"/>
          <w:sz w:val="22"/>
          <w:szCs w:val="22"/>
          <w:u w:val="single"/>
        </w:rPr>
        <w:t>must</w:t>
      </w:r>
      <w:r w:rsidR="00FB02FD" w:rsidRPr="00027D37">
        <w:rPr>
          <w:rFonts w:asciiTheme="minorHAnsi" w:hAnsiTheme="minorHAnsi"/>
          <w:sz w:val="22"/>
          <w:szCs w:val="22"/>
        </w:rPr>
        <w:t xml:space="preserve"> use</w:t>
      </w:r>
      <w:r w:rsidR="00FE31C2" w:rsidRPr="00FE31C2">
        <w:rPr>
          <w:rFonts w:asciiTheme="minorHAnsi" w:hAnsiTheme="minorHAnsi"/>
          <w:sz w:val="22"/>
          <w:szCs w:val="22"/>
        </w:rPr>
        <w:t xml:space="preserve"> the </w:t>
      </w:r>
      <w:r w:rsidR="00FB02FD">
        <w:rPr>
          <w:rFonts w:asciiTheme="minorHAnsi" w:hAnsiTheme="minorHAnsi"/>
          <w:sz w:val="22"/>
          <w:szCs w:val="22"/>
        </w:rPr>
        <w:t xml:space="preserve">Cash Receipts </w:t>
      </w:r>
      <w:r w:rsidR="00FE31C2" w:rsidRPr="00FE31C2">
        <w:rPr>
          <w:rFonts w:asciiTheme="minorHAnsi" w:hAnsiTheme="minorHAnsi"/>
          <w:sz w:val="22"/>
          <w:szCs w:val="22"/>
        </w:rPr>
        <w:t>interface – AR_</w:t>
      </w:r>
      <w:r w:rsidR="00FE31C2">
        <w:rPr>
          <w:rFonts w:asciiTheme="minorHAnsi" w:hAnsiTheme="minorHAnsi"/>
          <w:sz w:val="22"/>
          <w:szCs w:val="22"/>
        </w:rPr>
        <w:t xml:space="preserve">INT_002. </w:t>
      </w:r>
    </w:p>
    <w:p w14:paraId="37A494D0" w14:textId="5A5C08B0" w:rsidR="00FB02FD" w:rsidRDefault="003912EC" w:rsidP="00EC6425">
      <w:pPr>
        <w:pStyle w:val="ListParagraph"/>
        <w:numPr>
          <w:ilvl w:val="0"/>
          <w:numId w:val="16"/>
        </w:numPr>
        <w:rPr>
          <w:rFonts w:asciiTheme="minorHAnsi" w:hAnsiTheme="minorHAnsi"/>
          <w:sz w:val="22"/>
          <w:szCs w:val="22"/>
        </w:rPr>
      </w:pPr>
      <w:r>
        <w:rPr>
          <w:rFonts w:asciiTheme="minorHAnsi" w:hAnsiTheme="minorHAnsi"/>
          <w:sz w:val="22"/>
          <w:szCs w:val="22"/>
        </w:rPr>
        <w:t xml:space="preserve">Agencies should never check the “Complete” checkbox and process Regular Cash Deposits.  </w:t>
      </w:r>
      <w:r w:rsidR="00FE31C2">
        <w:rPr>
          <w:rFonts w:asciiTheme="minorHAnsi" w:hAnsiTheme="minorHAnsi"/>
          <w:sz w:val="22"/>
          <w:szCs w:val="22"/>
        </w:rPr>
        <w:t xml:space="preserve">The State Controller’s Office </w:t>
      </w:r>
      <w:r w:rsidR="00780092">
        <w:rPr>
          <w:rFonts w:asciiTheme="minorHAnsi" w:hAnsiTheme="minorHAnsi"/>
          <w:sz w:val="22"/>
          <w:szCs w:val="22"/>
        </w:rPr>
        <w:t xml:space="preserve">(SCO) </w:t>
      </w:r>
      <w:r w:rsidR="00FE31C2">
        <w:rPr>
          <w:rFonts w:asciiTheme="minorHAnsi" w:hAnsiTheme="minorHAnsi"/>
          <w:sz w:val="22"/>
          <w:szCs w:val="22"/>
        </w:rPr>
        <w:t xml:space="preserve">must </w:t>
      </w:r>
      <w:r w:rsidR="00FB02FD">
        <w:rPr>
          <w:rFonts w:asciiTheme="minorHAnsi" w:hAnsiTheme="minorHAnsi"/>
          <w:sz w:val="22"/>
          <w:szCs w:val="22"/>
        </w:rPr>
        <w:t xml:space="preserve">independently determine that the cash has been deposited to the underlying bank account </w:t>
      </w:r>
      <w:r w:rsidR="00FB02FD" w:rsidRPr="005A6AF2">
        <w:rPr>
          <w:rFonts w:asciiTheme="minorHAnsi" w:hAnsiTheme="minorHAnsi"/>
          <w:sz w:val="22"/>
          <w:szCs w:val="22"/>
          <w:u w:val="single"/>
        </w:rPr>
        <w:t>before</w:t>
      </w:r>
      <w:r w:rsidR="00FB02FD">
        <w:rPr>
          <w:rFonts w:asciiTheme="minorHAnsi" w:hAnsiTheme="minorHAnsi"/>
          <w:sz w:val="22"/>
          <w:szCs w:val="22"/>
        </w:rPr>
        <w:t xml:space="preserve"> the cash receipt may be processed.</w:t>
      </w:r>
    </w:p>
    <w:p w14:paraId="3FEDBA57" w14:textId="77777777" w:rsidR="00EC6425" w:rsidRPr="00FE31C2" w:rsidRDefault="00C06FFD" w:rsidP="00EC6425">
      <w:pPr>
        <w:pStyle w:val="ListParagraph"/>
        <w:numPr>
          <w:ilvl w:val="0"/>
          <w:numId w:val="16"/>
        </w:numPr>
        <w:rPr>
          <w:rFonts w:asciiTheme="minorHAnsi" w:hAnsiTheme="minorHAnsi"/>
          <w:sz w:val="22"/>
          <w:szCs w:val="22"/>
        </w:rPr>
      </w:pPr>
      <w:r w:rsidRPr="00FE31C2">
        <w:rPr>
          <w:rFonts w:asciiTheme="minorHAnsi" w:hAnsiTheme="minorHAnsi"/>
          <w:sz w:val="22"/>
          <w:szCs w:val="22"/>
        </w:rPr>
        <w:t xml:space="preserve">Agencies must </w:t>
      </w:r>
      <w:r w:rsidR="00073530" w:rsidRPr="00FE31C2">
        <w:rPr>
          <w:rFonts w:asciiTheme="minorHAnsi" w:hAnsiTheme="minorHAnsi"/>
          <w:sz w:val="22"/>
          <w:szCs w:val="22"/>
        </w:rPr>
        <w:t>convert existing paper lockbox or electronic lockbox (aka</w:t>
      </w:r>
      <w:r w:rsidR="00C03FFB" w:rsidRPr="00FE31C2">
        <w:rPr>
          <w:rFonts w:asciiTheme="minorHAnsi" w:hAnsiTheme="minorHAnsi"/>
          <w:sz w:val="22"/>
          <w:szCs w:val="22"/>
        </w:rPr>
        <w:t xml:space="preserve"> e-pay) applications to </w:t>
      </w:r>
      <w:r w:rsidR="007A4CF1">
        <w:rPr>
          <w:rFonts w:asciiTheme="minorHAnsi" w:hAnsiTheme="minorHAnsi"/>
          <w:sz w:val="22"/>
          <w:szCs w:val="22"/>
        </w:rPr>
        <w:t>STAR</w:t>
      </w:r>
      <w:r w:rsidR="00C03FFB" w:rsidRPr="00FE31C2">
        <w:rPr>
          <w:rFonts w:asciiTheme="minorHAnsi" w:hAnsiTheme="minorHAnsi"/>
          <w:sz w:val="22"/>
          <w:szCs w:val="22"/>
        </w:rPr>
        <w:t xml:space="preserve"> </w:t>
      </w:r>
      <w:r w:rsidR="00073530" w:rsidRPr="00FE31C2">
        <w:rPr>
          <w:rFonts w:asciiTheme="minorHAnsi" w:hAnsiTheme="minorHAnsi"/>
          <w:sz w:val="22"/>
          <w:szCs w:val="22"/>
        </w:rPr>
        <w:t>A/R applications wherever possible.</w:t>
      </w:r>
    </w:p>
    <w:p w14:paraId="1E128016" w14:textId="77777777" w:rsidR="00EC6425" w:rsidRPr="00600667" w:rsidRDefault="00EC6425" w:rsidP="00EC6425">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706"/>
        <w:gridCol w:w="8014"/>
      </w:tblGrid>
      <w:tr w:rsidR="0047617F" w:rsidRPr="0047617F" w14:paraId="30E78442" w14:textId="77777777" w:rsidTr="0047617F">
        <w:tc>
          <w:tcPr>
            <w:tcW w:w="1710" w:type="dxa"/>
            <w:tcBorders>
              <w:bottom w:val="single" w:sz="18" w:space="0" w:color="auto"/>
            </w:tcBorders>
            <w:shd w:val="clear" w:color="auto" w:fill="A6A6A6" w:themeFill="background1" w:themeFillShade="A6"/>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tblGrid>
            <w:tr w:rsidR="0047617F" w:rsidRPr="0047617F" w14:paraId="1824A9DC" w14:textId="77777777" w:rsidTr="0047617F">
              <w:tc>
                <w:tcPr>
                  <w:tcW w:w="1710" w:type="dxa"/>
                  <w:shd w:val="clear" w:color="auto" w:fill="auto"/>
                </w:tcPr>
                <w:p w14:paraId="46C895B9" w14:textId="77777777" w:rsidR="0047617F" w:rsidRPr="0047617F" w:rsidRDefault="0047617F" w:rsidP="00B8020D">
                  <w:pPr>
                    <w:ind w:left="-108" w:right="-9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P</w:t>
                  </w:r>
                  <w:r w:rsidR="00C44D91">
                    <w:rPr>
                      <w:rFonts w:asciiTheme="minorHAnsi" w:hAnsiTheme="minorHAnsi" w:cs="Arial"/>
                      <w:b/>
                      <w:color w:val="FFFFFF" w:themeColor="background1"/>
                      <w:sz w:val="22"/>
                      <w:szCs w:val="22"/>
                    </w:rPr>
                    <w:t>ROCEDURES</w:t>
                  </w:r>
                </w:p>
              </w:tc>
            </w:tr>
          </w:tbl>
          <w:p w14:paraId="5195139E" w14:textId="77777777" w:rsidR="0047617F" w:rsidRPr="0047617F" w:rsidRDefault="0047617F" w:rsidP="00B8020D">
            <w:pPr>
              <w:rPr>
                <w:color w:val="FFFFFF" w:themeColor="background1"/>
              </w:rPr>
            </w:pPr>
          </w:p>
        </w:tc>
        <w:tc>
          <w:tcPr>
            <w:tcW w:w="8100" w:type="dxa"/>
            <w:tcBorders>
              <w:bottom w:val="single" w:sz="18" w:space="0" w:color="auto"/>
            </w:tcBorders>
            <w:shd w:val="clear" w:color="auto" w:fill="auto"/>
          </w:tcPr>
          <w:p w14:paraId="5F1E852A" w14:textId="77777777" w:rsidR="0047617F" w:rsidRDefault="0047617F" w:rsidP="00B8020D">
            <w:pPr>
              <w:ind w:left="-108" w:right="-90"/>
              <w:rPr>
                <w:rFonts w:asciiTheme="minorHAnsi" w:hAnsiTheme="minorHAnsi" w:cs="Arial"/>
                <w:b/>
                <w:color w:val="FFFFFF" w:themeColor="background1"/>
                <w:sz w:val="22"/>
                <w:szCs w:val="22"/>
              </w:rPr>
            </w:pPr>
          </w:p>
        </w:tc>
      </w:tr>
    </w:tbl>
    <w:p w14:paraId="3CC9B650" w14:textId="77777777" w:rsidR="00EC6425" w:rsidRDefault="00EC6425" w:rsidP="00EC6425"/>
    <w:p w14:paraId="2163E8D7" w14:textId="77777777" w:rsidR="007A6940" w:rsidRPr="00821526" w:rsidRDefault="007A6940" w:rsidP="00EC6425">
      <w:pPr>
        <w:rPr>
          <w:rFonts w:asciiTheme="minorHAnsi" w:hAnsiTheme="minorHAnsi"/>
          <w:b/>
          <w:sz w:val="22"/>
          <w:szCs w:val="22"/>
          <w:u w:val="single"/>
        </w:rPr>
      </w:pPr>
      <w:r w:rsidRPr="00821526">
        <w:rPr>
          <w:rFonts w:asciiTheme="minorHAnsi" w:hAnsiTheme="minorHAnsi"/>
          <w:b/>
          <w:sz w:val="22"/>
          <w:szCs w:val="22"/>
          <w:u w:val="single"/>
        </w:rPr>
        <w:t xml:space="preserve">Please see the </w:t>
      </w:r>
      <w:hyperlink r:id="rId7" w:history="1">
        <w:r w:rsidRPr="00821526">
          <w:rPr>
            <w:rStyle w:val="Hyperlink"/>
            <w:rFonts w:asciiTheme="minorHAnsi" w:hAnsiTheme="minorHAnsi"/>
            <w:b/>
            <w:sz w:val="22"/>
            <w:szCs w:val="22"/>
          </w:rPr>
          <w:t>Regular Cash Deposit (Direct Journal Entry) Job Aid</w:t>
        </w:r>
      </w:hyperlink>
      <w:r w:rsidRPr="00821526">
        <w:rPr>
          <w:rFonts w:asciiTheme="minorHAnsi" w:hAnsiTheme="minorHAnsi"/>
          <w:b/>
          <w:sz w:val="22"/>
          <w:szCs w:val="22"/>
          <w:u w:val="single"/>
        </w:rPr>
        <w:t>.</w:t>
      </w:r>
    </w:p>
    <w:p w14:paraId="10E8486A" w14:textId="77777777" w:rsidR="007A6940" w:rsidRDefault="007A6940" w:rsidP="00EC6425">
      <w:pPr>
        <w:rPr>
          <w:rFonts w:asciiTheme="minorHAnsi" w:hAnsiTheme="minorHAnsi"/>
          <w:sz w:val="22"/>
          <w:szCs w:val="22"/>
          <w:u w:val="single"/>
        </w:rPr>
      </w:pPr>
    </w:p>
    <w:p w14:paraId="3A2EC8D9" w14:textId="77777777" w:rsidR="003912EC" w:rsidRPr="003912EC" w:rsidRDefault="003912EC" w:rsidP="00EC6425">
      <w:pPr>
        <w:rPr>
          <w:rFonts w:asciiTheme="minorHAnsi" w:hAnsiTheme="minorHAnsi"/>
          <w:sz w:val="22"/>
          <w:szCs w:val="22"/>
          <w:u w:val="single"/>
        </w:rPr>
      </w:pPr>
      <w:r w:rsidRPr="003912EC">
        <w:rPr>
          <w:rFonts w:asciiTheme="minorHAnsi" w:hAnsiTheme="minorHAnsi"/>
          <w:sz w:val="22"/>
          <w:szCs w:val="22"/>
          <w:u w:val="single"/>
        </w:rPr>
        <w:t>Entering the Regular Cash Deposit</w:t>
      </w:r>
    </w:p>
    <w:p w14:paraId="2FDC0B78" w14:textId="77777777" w:rsidR="006A5CDB" w:rsidRPr="006A5CDB" w:rsidRDefault="008451D3" w:rsidP="00EC6425">
      <w:pPr>
        <w:rPr>
          <w:rFonts w:asciiTheme="minorHAnsi" w:hAnsiTheme="minorHAnsi"/>
          <w:sz w:val="22"/>
          <w:szCs w:val="22"/>
        </w:rPr>
      </w:pPr>
      <w:r>
        <w:rPr>
          <w:rFonts w:asciiTheme="minorHAnsi" w:hAnsiTheme="minorHAnsi"/>
          <w:sz w:val="22"/>
          <w:szCs w:val="22"/>
        </w:rPr>
        <w:t>Regular Cash D</w:t>
      </w:r>
      <w:r w:rsidR="006A5CDB" w:rsidRPr="006A5CDB">
        <w:rPr>
          <w:rFonts w:asciiTheme="minorHAnsi" w:hAnsiTheme="minorHAnsi"/>
          <w:sz w:val="22"/>
          <w:szCs w:val="22"/>
        </w:rPr>
        <w:t xml:space="preserve">eposits must be entered </w:t>
      </w:r>
      <w:r>
        <w:rPr>
          <w:rFonts w:asciiTheme="minorHAnsi" w:hAnsiTheme="minorHAnsi"/>
          <w:sz w:val="22"/>
          <w:szCs w:val="22"/>
        </w:rPr>
        <w:t xml:space="preserve">online </w:t>
      </w:r>
      <w:r w:rsidR="006A5CDB" w:rsidRPr="006A5CDB">
        <w:rPr>
          <w:rFonts w:asciiTheme="minorHAnsi" w:hAnsiTheme="minorHAnsi"/>
          <w:sz w:val="22"/>
          <w:szCs w:val="22"/>
        </w:rPr>
        <w:t>with</w:t>
      </w:r>
      <w:r>
        <w:rPr>
          <w:rFonts w:asciiTheme="minorHAnsi" w:hAnsiTheme="minorHAnsi"/>
          <w:sz w:val="22"/>
          <w:szCs w:val="22"/>
        </w:rPr>
        <w:t xml:space="preserve"> the following required values:</w:t>
      </w:r>
    </w:p>
    <w:p w14:paraId="27B0BDE2" w14:textId="77777777" w:rsidR="00017827" w:rsidRDefault="00017827" w:rsidP="00EC6425">
      <w:pPr>
        <w:rPr>
          <w:rFonts w:asciiTheme="minorHAnsi" w:hAnsiTheme="minorHAnsi"/>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2296"/>
        <w:gridCol w:w="2034"/>
        <w:gridCol w:w="5272"/>
      </w:tblGrid>
      <w:tr w:rsidR="00AE4874" w:rsidRPr="007A44DA" w14:paraId="0F6D2C41" w14:textId="77777777" w:rsidTr="00AE4874">
        <w:tc>
          <w:tcPr>
            <w:tcW w:w="2340" w:type="dxa"/>
            <w:tcBorders>
              <w:top w:val="single" w:sz="4" w:space="0" w:color="auto"/>
              <w:left w:val="single" w:sz="4" w:space="0" w:color="auto"/>
              <w:bottom w:val="single" w:sz="4" w:space="0" w:color="auto"/>
              <w:right w:val="single" w:sz="6" w:space="0" w:color="auto"/>
            </w:tcBorders>
            <w:shd w:val="clear" w:color="auto" w:fill="A6A6A6" w:themeFill="background1" w:themeFillShade="A6"/>
          </w:tcPr>
          <w:p w14:paraId="42713EEC" w14:textId="77777777" w:rsidR="00AE4874" w:rsidRPr="007A44DA" w:rsidRDefault="00AE4874" w:rsidP="007A2AED">
            <w:pPr>
              <w:rPr>
                <w:rFonts w:asciiTheme="minorHAnsi" w:hAnsiTheme="minorHAnsi"/>
                <w:b/>
                <w:sz w:val="22"/>
                <w:szCs w:val="22"/>
              </w:rPr>
            </w:pPr>
            <w:r w:rsidRPr="007A44DA">
              <w:rPr>
                <w:rFonts w:asciiTheme="minorHAnsi" w:hAnsiTheme="minorHAnsi"/>
                <w:b/>
                <w:sz w:val="22"/>
                <w:szCs w:val="22"/>
              </w:rPr>
              <w:t>PS Screen Input</w:t>
            </w:r>
            <w:r>
              <w:rPr>
                <w:rFonts w:asciiTheme="minorHAnsi" w:hAnsiTheme="minorHAnsi"/>
                <w:b/>
                <w:sz w:val="22"/>
                <w:szCs w:val="22"/>
              </w:rPr>
              <w:t xml:space="preserve"> Screen</w:t>
            </w:r>
          </w:p>
        </w:tc>
        <w:tc>
          <w:tcPr>
            <w:tcW w:w="2070" w:type="dxa"/>
            <w:tcBorders>
              <w:top w:val="single" w:sz="4" w:space="0" w:color="auto"/>
              <w:left w:val="single" w:sz="6" w:space="0" w:color="auto"/>
              <w:bottom w:val="single" w:sz="4" w:space="0" w:color="auto"/>
              <w:right w:val="single" w:sz="6" w:space="0" w:color="auto"/>
            </w:tcBorders>
            <w:shd w:val="clear" w:color="auto" w:fill="A6A6A6" w:themeFill="background1" w:themeFillShade="A6"/>
          </w:tcPr>
          <w:p w14:paraId="0D87C9F1" w14:textId="77777777" w:rsidR="00AE4874" w:rsidRPr="007A44DA" w:rsidRDefault="00AE4874" w:rsidP="007A2AED">
            <w:pPr>
              <w:rPr>
                <w:rFonts w:asciiTheme="minorHAnsi" w:hAnsiTheme="minorHAnsi"/>
                <w:b/>
                <w:sz w:val="22"/>
                <w:szCs w:val="22"/>
              </w:rPr>
            </w:pPr>
            <w:r>
              <w:rPr>
                <w:rFonts w:asciiTheme="minorHAnsi" w:hAnsiTheme="minorHAnsi"/>
                <w:b/>
                <w:sz w:val="22"/>
                <w:szCs w:val="22"/>
              </w:rPr>
              <w:t>PS Input Field Label</w:t>
            </w:r>
          </w:p>
        </w:tc>
        <w:tc>
          <w:tcPr>
            <w:tcW w:w="5418" w:type="dxa"/>
            <w:tcBorders>
              <w:top w:val="single" w:sz="4" w:space="0" w:color="auto"/>
              <w:left w:val="single" w:sz="6" w:space="0" w:color="auto"/>
              <w:bottom w:val="single" w:sz="4" w:space="0" w:color="auto"/>
              <w:right w:val="single" w:sz="4" w:space="0" w:color="auto"/>
            </w:tcBorders>
            <w:shd w:val="clear" w:color="auto" w:fill="A6A6A6" w:themeFill="background1" w:themeFillShade="A6"/>
          </w:tcPr>
          <w:p w14:paraId="2D5ACCBD" w14:textId="77777777" w:rsidR="00AE4874" w:rsidRPr="007A44DA" w:rsidRDefault="00AE4874" w:rsidP="007A2AED">
            <w:pPr>
              <w:rPr>
                <w:rFonts w:asciiTheme="minorHAnsi" w:hAnsiTheme="minorHAnsi"/>
                <w:b/>
                <w:sz w:val="22"/>
                <w:szCs w:val="22"/>
              </w:rPr>
            </w:pPr>
            <w:r w:rsidRPr="007A44DA">
              <w:rPr>
                <w:rFonts w:asciiTheme="minorHAnsi" w:hAnsiTheme="minorHAnsi"/>
                <w:b/>
                <w:sz w:val="22"/>
                <w:szCs w:val="22"/>
              </w:rPr>
              <w:t>Required Value</w:t>
            </w:r>
          </w:p>
        </w:tc>
      </w:tr>
      <w:tr w:rsidR="00AE4874" w:rsidRPr="007A44DA" w14:paraId="3DDAD516"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6A4778ED" w14:textId="77777777" w:rsidR="00AE4874" w:rsidRPr="007A44DA" w:rsidRDefault="00AE4874" w:rsidP="007A2AED">
            <w:pPr>
              <w:rPr>
                <w:rFonts w:asciiTheme="minorHAnsi" w:hAnsiTheme="minorHAnsi"/>
                <w:i/>
                <w:sz w:val="22"/>
                <w:szCs w:val="22"/>
              </w:rPr>
            </w:pPr>
            <w:r>
              <w:rPr>
                <w:rFonts w:asciiTheme="minorHAnsi" w:hAnsiTheme="minorHAnsi"/>
                <w:i/>
                <w:sz w:val="22"/>
                <w:szCs w:val="22"/>
              </w:rPr>
              <w:t>Totals</w:t>
            </w:r>
          </w:p>
        </w:tc>
        <w:tc>
          <w:tcPr>
            <w:tcW w:w="2070" w:type="dxa"/>
            <w:tcBorders>
              <w:top w:val="single" w:sz="4" w:space="0" w:color="auto"/>
              <w:left w:val="single" w:sz="4" w:space="0" w:color="auto"/>
              <w:bottom w:val="single" w:sz="4" w:space="0" w:color="auto"/>
              <w:right w:val="single" w:sz="4" w:space="0" w:color="auto"/>
            </w:tcBorders>
          </w:tcPr>
          <w:p w14:paraId="52F70898" w14:textId="77777777" w:rsidR="00AE4874" w:rsidRPr="007A44DA" w:rsidRDefault="00AE4874" w:rsidP="007A2AED">
            <w:pPr>
              <w:rPr>
                <w:rFonts w:asciiTheme="minorHAnsi" w:hAnsiTheme="minorHAnsi"/>
                <w:sz w:val="22"/>
                <w:szCs w:val="22"/>
              </w:rPr>
            </w:pPr>
            <w:r>
              <w:rPr>
                <w:rFonts w:asciiTheme="minorHAnsi" w:hAnsiTheme="minorHAnsi"/>
                <w:sz w:val="22"/>
                <w:szCs w:val="22"/>
              </w:rPr>
              <w:t>Bank Code</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6A1189A8" w14:textId="77777777" w:rsidR="00AE4874" w:rsidRPr="007A44DA" w:rsidRDefault="00E36D9E" w:rsidP="007A2AED">
            <w:pPr>
              <w:rPr>
                <w:rFonts w:asciiTheme="minorHAnsi" w:hAnsiTheme="minorHAnsi"/>
                <w:sz w:val="22"/>
                <w:szCs w:val="22"/>
              </w:rPr>
            </w:pPr>
            <w:r>
              <w:rPr>
                <w:rFonts w:asciiTheme="minorHAnsi" w:hAnsiTheme="minorHAnsi"/>
                <w:sz w:val="22"/>
                <w:szCs w:val="22"/>
              </w:rPr>
              <w:t>US022 should be used on all online or interfaced cash deposits.</w:t>
            </w:r>
          </w:p>
        </w:tc>
      </w:tr>
      <w:tr w:rsidR="00AE4874" w:rsidRPr="007A44DA" w14:paraId="2AA2F325"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0F2D8BC8" w14:textId="77777777" w:rsidR="00AE4874" w:rsidRPr="007A44DA" w:rsidRDefault="00AE4874" w:rsidP="007A2AED">
            <w:pPr>
              <w:rPr>
                <w:rFonts w:asciiTheme="minorHAnsi" w:hAnsiTheme="minorHAnsi"/>
                <w:i/>
                <w:sz w:val="22"/>
                <w:szCs w:val="22"/>
              </w:rPr>
            </w:pPr>
            <w:r>
              <w:rPr>
                <w:rFonts w:asciiTheme="minorHAnsi" w:hAnsiTheme="minorHAnsi"/>
                <w:i/>
                <w:sz w:val="22"/>
                <w:szCs w:val="22"/>
              </w:rPr>
              <w:t>Totals</w:t>
            </w:r>
          </w:p>
        </w:tc>
        <w:tc>
          <w:tcPr>
            <w:tcW w:w="2070" w:type="dxa"/>
            <w:tcBorders>
              <w:top w:val="single" w:sz="4" w:space="0" w:color="auto"/>
              <w:left w:val="single" w:sz="4" w:space="0" w:color="auto"/>
              <w:bottom w:val="single" w:sz="4" w:space="0" w:color="auto"/>
              <w:right w:val="single" w:sz="4" w:space="0" w:color="auto"/>
            </w:tcBorders>
          </w:tcPr>
          <w:p w14:paraId="61582283" w14:textId="77777777" w:rsidR="00AE4874" w:rsidRDefault="00AE4874" w:rsidP="007A2AED">
            <w:pPr>
              <w:rPr>
                <w:rFonts w:asciiTheme="minorHAnsi" w:hAnsiTheme="minorHAnsi"/>
                <w:sz w:val="22"/>
                <w:szCs w:val="22"/>
              </w:rPr>
            </w:pPr>
            <w:r>
              <w:rPr>
                <w:rFonts w:asciiTheme="minorHAnsi" w:hAnsiTheme="minorHAnsi"/>
                <w:sz w:val="22"/>
                <w:szCs w:val="22"/>
              </w:rPr>
              <w:t>Bank Account</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0D30F7E6" w14:textId="77777777" w:rsidR="00AE4874" w:rsidRPr="007A44DA" w:rsidRDefault="00E36D9E" w:rsidP="007A2AED">
            <w:pPr>
              <w:rPr>
                <w:rFonts w:asciiTheme="minorHAnsi" w:hAnsiTheme="minorHAnsi"/>
                <w:sz w:val="22"/>
                <w:szCs w:val="22"/>
              </w:rPr>
            </w:pPr>
            <w:r>
              <w:rPr>
                <w:rFonts w:asciiTheme="minorHAnsi" w:hAnsiTheme="minorHAnsi"/>
                <w:sz w:val="22"/>
                <w:szCs w:val="22"/>
              </w:rPr>
              <w:t>1166 should be used on all cash deposits.</w:t>
            </w:r>
          </w:p>
        </w:tc>
      </w:tr>
      <w:tr w:rsidR="00AE4874" w:rsidRPr="007A44DA" w14:paraId="06D28CCF"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48569BF2" w14:textId="77777777" w:rsidR="00AE4874" w:rsidRPr="007A44DA" w:rsidRDefault="00AE4874" w:rsidP="007A2AED">
            <w:pPr>
              <w:rPr>
                <w:rFonts w:asciiTheme="minorHAnsi" w:hAnsiTheme="minorHAnsi"/>
                <w:i/>
                <w:sz w:val="22"/>
                <w:szCs w:val="22"/>
              </w:rPr>
            </w:pPr>
            <w:r>
              <w:rPr>
                <w:rFonts w:asciiTheme="minorHAnsi" w:hAnsiTheme="minorHAnsi"/>
                <w:i/>
                <w:sz w:val="22"/>
                <w:szCs w:val="22"/>
              </w:rPr>
              <w:t>Totals</w:t>
            </w:r>
          </w:p>
        </w:tc>
        <w:tc>
          <w:tcPr>
            <w:tcW w:w="2070" w:type="dxa"/>
            <w:tcBorders>
              <w:top w:val="single" w:sz="4" w:space="0" w:color="auto"/>
              <w:left w:val="single" w:sz="4" w:space="0" w:color="auto"/>
              <w:bottom w:val="single" w:sz="4" w:space="0" w:color="auto"/>
              <w:right w:val="single" w:sz="4" w:space="0" w:color="auto"/>
            </w:tcBorders>
          </w:tcPr>
          <w:p w14:paraId="3DA97406" w14:textId="77777777" w:rsidR="00AE4874" w:rsidRDefault="00AE4874" w:rsidP="007A44DA">
            <w:pPr>
              <w:rPr>
                <w:rFonts w:asciiTheme="minorHAnsi" w:hAnsiTheme="minorHAnsi"/>
                <w:sz w:val="22"/>
                <w:szCs w:val="22"/>
              </w:rPr>
            </w:pPr>
            <w:r>
              <w:rPr>
                <w:rFonts w:asciiTheme="minorHAnsi" w:hAnsiTheme="minorHAnsi"/>
                <w:sz w:val="22"/>
                <w:szCs w:val="22"/>
              </w:rPr>
              <w:t>Deposit Type</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28D4CD3E" w14:textId="77777777" w:rsidR="00AE4874" w:rsidRPr="007A44DA" w:rsidRDefault="00AE4874" w:rsidP="007A44DA">
            <w:pPr>
              <w:rPr>
                <w:rFonts w:asciiTheme="minorHAnsi" w:hAnsiTheme="minorHAnsi"/>
                <w:sz w:val="22"/>
                <w:szCs w:val="22"/>
              </w:rPr>
            </w:pPr>
            <w:r>
              <w:rPr>
                <w:rFonts w:asciiTheme="minorHAnsi" w:hAnsiTheme="minorHAnsi"/>
                <w:sz w:val="22"/>
                <w:szCs w:val="22"/>
              </w:rPr>
              <w:t>Must match payments received - only 1 type per deposit</w:t>
            </w:r>
          </w:p>
        </w:tc>
      </w:tr>
      <w:tr w:rsidR="00AE4874" w:rsidRPr="007A44DA" w14:paraId="48DD4613"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56708709" w14:textId="77777777" w:rsidR="00AE4874" w:rsidRDefault="00AE4874" w:rsidP="007A2AED">
            <w:pPr>
              <w:rPr>
                <w:rFonts w:asciiTheme="minorHAnsi" w:hAnsiTheme="minorHAnsi"/>
                <w:i/>
                <w:sz w:val="22"/>
                <w:szCs w:val="22"/>
              </w:rPr>
            </w:pPr>
            <w:r>
              <w:rPr>
                <w:rFonts w:asciiTheme="minorHAnsi" w:hAnsiTheme="minorHAnsi"/>
                <w:i/>
                <w:sz w:val="22"/>
                <w:szCs w:val="22"/>
              </w:rPr>
              <w:t>Totals</w:t>
            </w:r>
          </w:p>
        </w:tc>
        <w:tc>
          <w:tcPr>
            <w:tcW w:w="2070" w:type="dxa"/>
            <w:tcBorders>
              <w:top w:val="single" w:sz="4" w:space="0" w:color="auto"/>
              <w:left w:val="single" w:sz="4" w:space="0" w:color="auto"/>
              <w:bottom w:val="single" w:sz="4" w:space="0" w:color="auto"/>
              <w:right w:val="single" w:sz="4" w:space="0" w:color="auto"/>
            </w:tcBorders>
          </w:tcPr>
          <w:p w14:paraId="35F95A0F" w14:textId="77777777" w:rsidR="00AE4874" w:rsidRDefault="00AE4874" w:rsidP="007A44DA">
            <w:pPr>
              <w:rPr>
                <w:rFonts w:asciiTheme="minorHAnsi" w:hAnsiTheme="minorHAnsi"/>
                <w:sz w:val="22"/>
                <w:szCs w:val="22"/>
              </w:rPr>
            </w:pPr>
            <w:r>
              <w:rPr>
                <w:rFonts w:asciiTheme="minorHAnsi" w:hAnsiTheme="minorHAnsi"/>
                <w:sz w:val="22"/>
                <w:szCs w:val="22"/>
              </w:rPr>
              <w:t>Count</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3A00B99B" w14:textId="77777777" w:rsidR="00AE4874" w:rsidRDefault="00AE4874" w:rsidP="007A44DA">
            <w:pPr>
              <w:rPr>
                <w:rFonts w:asciiTheme="minorHAnsi" w:hAnsiTheme="minorHAnsi"/>
                <w:sz w:val="22"/>
                <w:szCs w:val="22"/>
              </w:rPr>
            </w:pPr>
            <w:r>
              <w:rPr>
                <w:rFonts w:asciiTheme="minorHAnsi" w:hAnsiTheme="minorHAnsi"/>
                <w:sz w:val="22"/>
                <w:szCs w:val="22"/>
              </w:rPr>
              <w:t>Enter the number of individual payments (i.e. 50 checks are in the deposit)</w:t>
            </w:r>
          </w:p>
        </w:tc>
      </w:tr>
      <w:tr w:rsidR="00AE4874" w:rsidRPr="007A44DA" w14:paraId="5D68D297"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6BD62DC7" w14:textId="77777777" w:rsidR="00AE4874" w:rsidRDefault="00AE4874" w:rsidP="007A2AED">
            <w:pPr>
              <w:rPr>
                <w:rFonts w:asciiTheme="minorHAnsi" w:hAnsiTheme="minorHAnsi"/>
                <w:i/>
                <w:sz w:val="22"/>
                <w:szCs w:val="22"/>
              </w:rPr>
            </w:pPr>
            <w:r>
              <w:rPr>
                <w:rFonts w:asciiTheme="minorHAnsi" w:hAnsiTheme="minorHAnsi"/>
                <w:i/>
                <w:sz w:val="22"/>
                <w:szCs w:val="22"/>
              </w:rPr>
              <w:t>Totals</w:t>
            </w:r>
          </w:p>
        </w:tc>
        <w:tc>
          <w:tcPr>
            <w:tcW w:w="2070" w:type="dxa"/>
            <w:tcBorders>
              <w:top w:val="single" w:sz="4" w:space="0" w:color="auto"/>
              <w:left w:val="single" w:sz="4" w:space="0" w:color="auto"/>
              <w:bottom w:val="single" w:sz="4" w:space="0" w:color="auto"/>
              <w:right w:val="single" w:sz="4" w:space="0" w:color="auto"/>
            </w:tcBorders>
          </w:tcPr>
          <w:p w14:paraId="12A71432" w14:textId="77777777" w:rsidR="00AE4874" w:rsidRDefault="00AE4874" w:rsidP="007A44DA">
            <w:pPr>
              <w:rPr>
                <w:rFonts w:asciiTheme="minorHAnsi" w:hAnsiTheme="minorHAnsi"/>
                <w:sz w:val="22"/>
                <w:szCs w:val="22"/>
              </w:rPr>
            </w:pPr>
            <w:r>
              <w:rPr>
                <w:rFonts w:asciiTheme="minorHAnsi" w:hAnsiTheme="minorHAnsi"/>
                <w:sz w:val="22"/>
                <w:szCs w:val="22"/>
              </w:rPr>
              <w:t>Received</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2EBE8108" w14:textId="77777777" w:rsidR="00AE4874" w:rsidRDefault="00AE4874" w:rsidP="007A44DA">
            <w:pPr>
              <w:rPr>
                <w:rFonts w:asciiTheme="minorHAnsi" w:hAnsiTheme="minorHAnsi"/>
                <w:sz w:val="22"/>
                <w:szCs w:val="22"/>
              </w:rPr>
            </w:pPr>
            <w:r>
              <w:rPr>
                <w:rFonts w:asciiTheme="minorHAnsi" w:hAnsiTheme="minorHAnsi"/>
                <w:sz w:val="22"/>
                <w:szCs w:val="22"/>
              </w:rPr>
              <w:t xml:space="preserve">The date the deposit will be made to the bank </w:t>
            </w:r>
            <w:r w:rsidR="00E649E1">
              <w:rPr>
                <w:rFonts w:asciiTheme="minorHAnsi" w:hAnsiTheme="minorHAnsi"/>
                <w:sz w:val="22"/>
                <w:szCs w:val="22"/>
              </w:rPr>
              <w:t>account</w:t>
            </w:r>
          </w:p>
        </w:tc>
      </w:tr>
      <w:tr w:rsidR="00AE4874" w:rsidRPr="007A44DA" w14:paraId="1843079D"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1963DE06" w14:textId="77777777" w:rsidR="00AE4874" w:rsidRDefault="00AE4874" w:rsidP="007A2AED">
            <w:pPr>
              <w:rPr>
                <w:rFonts w:asciiTheme="minorHAnsi" w:hAnsiTheme="minorHAnsi"/>
                <w:i/>
                <w:sz w:val="22"/>
                <w:szCs w:val="22"/>
              </w:rPr>
            </w:pPr>
            <w:r>
              <w:rPr>
                <w:rFonts w:asciiTheme="minorHAnsi" w:hAnsiTheme="minorHAnsi"/>
                <w:i/>
                <w:sz w:val="22"/>
                <w:szCs w:val="22"/>
              </w:rPr>
              <w:t>Payments</w:t>
            </w:r>
          </w:p>
        </w:tc>
        <w:tc>
          <w:tcPr>
            <w:tcW w:w="2070" w:type="dxa"/>
            <w:tcBorders>
              <w:top w:val="single" w:sz="4" w:space="0" w:color="auto"/>
              <w:left w:val="single" w:sz="4" w:space="0" w:color="auto"/>
              <w:bottom w:val="single" w:sz="4" w:space="0" w:color="auto"/>
              <w:right w:val="single" w:sz="4" w:space="0" w:color="auto"/>
            </w:tcBorders>
          </w:tcPr>
          <w:p w14:paraId="274946A0" w14:textId="77777777" w:rsidR="00AE4874" w:rsidRDefault="00AE4874" w:rsidP="007A44DA">
            <w:pPr>
              <w:rPr>
                <w:rFonts w:asciiTheme="minorHAnsi" w:hAnsiTheme="minorHAnsi"/>
                <w:sz w:val="22"/>
                <w:szCs w:val="22"/>
              </w:rPr>
            </w:pPr>
            <w:r>
              <w:rPr>
                <w:rFonts w:asciiTheme="minorHAnsi" w:hAnsiTheme="minorHAnsi"/>
                <w:sz w:val="22"/>
                <w:szCs w:val="22"/>
              </w:rPr>
              <w:t>Payment ID</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412735AD" w14:textId="77777777" w:rsidR="00AE4874" w:rsidRDefault="00AE4874" w:rsidP="007A44DA">
            <w:pPr>
              <w:rPr>
                <w:rFonts w:asciiTheme="minorHAnsi" w:hAnsiTheme="minorHAnsi"/>
                <w:sz w:val="22"/>
                <w:szCs w:val="22"/>
              </w:rPr>
            </w:pPr>
            <w:r>
              <w:rPr>
                <w:rFonts w:asciiTheme="minorHAnsi" w:hAnsiTheme="minorHAnsi"/>
                <w:sz w:val="22"/>
                <w:szCs w:val="22"/>
              </w:rPr>
              <w:t>If this payment is part of a pre-established PS A/R application, enter the PS Payment ID, otherwise enter an identifying number – i.e. 000001 for the entire deposit.</w:t>
            </w:r>
          </w:p>
        </w:tc>
      </w:tr>
      <w:tr w:rsidR="00AE4874" w:rsidRPr="007A44DA" w14:paraId="2E848E05" w14:textId="77777777" w:rsidTr="00AE4874">
        <w:tc>
          <w:tcPr>
            <w:tcW w:w="2340" w:type="dxa"/>
            <w:tcBorders>
              <w:top w:val="single" w:sz="4" w:space="0" w:color="auto"/>
              <w:left w:val="single" w:sz="4" w:space="0" w:color="auto"/>
              <w:bottom w:val="single" w:sz="4" w:space="0" w:color="auto"/>
              <w:right w:val="single" w:sz="4" w:space="0" w:color="auto"/>
            </w:tcBorders>
            <w:shd w:val="clear" w:color="auto" w:fill="auto"/>
          </w:tcPr>
          <w:p w14:paraId="5E87DCBD" w14:textId="77777777" w:rsidR="00AE4874" w:rsidRDefault="00512475" w:rsidP="007A2AED">
            <w:pPr>
              <w:rPr>
                <w:rFonts w:asciiTheme="minorHAnsi" w:hAnsiTheme="minorHAnsi"/>
                <w:i/>
                <w:sz w:val="22"/>
                <w:szCs w:val="22"/>
              </w:rPr>
            </w:pPr>
            <w:r>
              <w:rPr>
                <w:rFonts w:asciiTheme="minorHAnsi" w:hAnsiTheme="minorHAnsi"/>
                <w:i/>
                <w:sz w:val="22"/>
                <w:szCs w:val="22"/>
              </w:rPr>
              <w:lastRenderedPageBreak/>
              <w:t>Payments</w:t>
            </w:r>
          </w:p>
        </w:tc>
        <w:tc>
          <w:tcPr>
            <w:tcW w:w="2070" w:type="dxa"/>
            <w:tcBorders>
              <w:top w:val="single" w:sz="4" w:space="0" w:color="auto"/>
              <w:left w:val="single" w:sz="4" w:space="0" w:color="auto"/>
              <w:bottom w:val="single" w:sz="4" w:space="0" w:color="auto"/>
              <w:right w:val="single" w:sz="4" w:space="0" w:color="auto"/>
            </w:tcBorders>
          </w:tcPr>
          <w:p w14:paraId="1D2C1C2C" w14:textId="77777777" w:rsidR="00AE4874" w:rsidRDefault="00512475" w:rsidP="007A44DA">
            <w:pPr>
              <w:rPr>
                <w:rFonts w:asciiTheme="minorHAnsi" w:hAnsiTheme="minorHAnsi"/>
                <w:sz w:val="22"/>
                <w:szCs w:val="22"/>
              </w:rPr>
            </w:pPr>
            <w:r>
              <w:rPr>
                <w:rFonts w:asciiTheme="minorHAnsi" w:hAnsiTheme="minorHAnsi"/>
                <w:sz w:val="22"/>
                <w:szCs w:val="22"/>
              </w:rPr>
              <w:t>Journal Directly or Payment Predictor</w:t>
            </w:r>
          </w:p>
        </w:tc>
        <w:tc>
          <w:tcPr>
            <w:tcW w:w="5418" w:type="dxa"/>
            <w:tcBorders>
              <w:top w:val="single" w:sz="4" w:space="0" w:color="auto"/>
              <w:left w:val="single" w:sz="4" w:space="0" w:color="auto"/>
              <w:bottom w:val="single" w:sz="4" w:space="0" w:color="auto"/>
              <w:right w:val="single" w:sz="4" w:space="0" w:color="auto"/>
            </w:tcBorders>
            <w:shd w:val="clear" w:color="auto" w:fill="auto"/>
          </w:tcPr>
          <w:p w14:paraId="404191D6" w14:textId="77777777" w:rsidR="00AE4874" w:rsidRDefault="00512475" w:rsidP="007A44DA">
            <w:pPr>
              <w:rPr>
                <w:rFonts w:asciiTheme="minorHAnsi" w:hAnsiTheme="minorHAnsi"/>
                <w:sz w:val="22"/>
                <w:szCs w:val="22"/>
              </w:rPr>
            </w:pPr>
            <w:r>
              <w:rPr>
                <w:rFonts w:asciiTheme="minorHAnsi" w:hAnsiTheme="minorHAnsi"/>
                <w:sz w:val="22"/>
                <w:szCs w:val="22"/>
              </w:rPr>
              <w:t xml:space="preserve">Place a check mark in Journal </w:t>
            </w:r>
            <w:r w:rsidR="00E36D9E">
              <w:rPr>
                <w:rFonts w:asciiTheme="minorHAnsi" w:hAnsiTheme="minorHAnsi"/>
                <w:sz w:val="22"/>
                <w:szCs w:val="22"/>
              </w:rPr>
              <w:t>Directly unless you have already established an open receivable that this payment will be applied to</w:t>
            </w:r>
            <w:r>
              <w:rPr>
                <w:rFonts w:asciiTheme="minorHAnsi" w:hAnsiTheme="minorHAnsi"/>
                <w:sz w:val="22"/>
                <w:szCs w:val="22"/>
              </w:rPr>
              <w:t>.</w:t>
            </w:r>
          </w:p>
        </w:tc>
      </w:tr>
    </w:tbl>
    <w:p w14:paraId="2E491009" w14:textId="77777777" w:rsidR="005A6AF2" w:rsidRDefault="005A6AF2" w:rsidP="00EC6425">
      <w:pPr>
        <w:rPr>
          <w:rFonts w:asciiTheme="minorHAnsi" w:hAnsiTheme="minorHAnsi"/>
          <w:sz w:val="22"/>
          <w:szCs w:val="22"/>
        </w:rPr>
      </w:pPr>
    </w:p>
    <w:p w14:paraId="43F90847" w14:textId="77777777" w:rsidR="005A6AF2" w:rsidRPr="00FB02FD" w:rsidRDefault="005A6AF2" w:rsidP="00EC6425">
      <w:pPr>
        <w:rPr>
          <w:rFonts w:asciiTheme="minorHAnsi" w:hAnsiTheme="minorHAnsi"/>
          <w:sz w:val="22"/>
          <w:szCs w:val="22"/>
        </w:rPr>
      </w:pPr>
    </w:p>
    <w:p w14:paraId="43BF71EC" w14:textId="77777777" w:rsidR="00073530" w:rsidRDefault="00073530" w:rsidP="00EC6425">
      <w:pPr>
        <w:rPr>
          <w:rFonts w:asciiTheme="minorHAnsi" w:hAnsiTheme="minorHAnsi"/>
          <w:sz w:val="22"/>
          <w:szCs w:val="22"/>
        </w:rPr>
      </w:pPr>
    </w:p>
    <w:p w14:paraId="22823451" w14:textId="77777777" w:rsidR="005A6AF2" w:rsidRDefault="005A6AF2" w:rsidP="00EC6425">
      <w:pPr>
        <w:rPr>
          <w:rFonts w:asciiTheme="minorHAnsi" w:hAnsiTheme="minorHAnsi"/>
          <w:sz w:val="22"/>
          <w:szCs w:val="22"/>
        </w:rPr>
      </w:pPr>
    </w:p>
    <w:p w14:paraId="781DC923" w14:textId="77777777" w:rsidR="005A6AF2" w:rsidRPr="003912EC" w:rsidRDefault="008451D3" w:rsidP="00EC6425">
      <w:pPr>
        <w:rPr>
          <w:rFonts w:asciiTheme="minorHAnsi" w:hAnsiTheme="minorHAnsi"/>
          <w:i/>
          <w:sz w:val="22"/>
          <w:szCs w:val="22"/>
        </w:rPr>
      </w:pPr>
      <w:r w:rsidRPr="003912EC">
        <w:rPr>
          <w:rFonts w:asciiTheme="minorHAnsi" w:hAnsiTheme="minorHAnsi"/>
          <w:i/>
          <w:sz w:val="22"/>
          <w:szCs w:val="22"/>
        </w:rPr>
        <w:t>Cash Transactions</w:t>
      </w:r>
    </w:p>
    <w:p w14:paraId="29BA2905" w14:textId="77777777" w:rsidR="005A6AF2" w:rsidRDefault="008451D3" w:rsidP="00EC6425">
      <w:pPr>
        <w:rPr>
          <w:rFonts w:asciiTheme="minorHAnsi" w:hAnsiTheme="minorHAnsi"/>
          <w:sz w:val="22"/>
          <w:szCs w:val="22"/>
        </w:rPr>
      </w:pPr>
      <w:r>
        <w:rPr>
          <w:rFonts w:asciiTheme="minorHAnsi" w:hAnsiTheme="minorHAnsi"/>
          <w:sz w:val="22"/>
          <w:szCs w:val="22"/>
        </w:rPr>
        <w:t xml:space="preserve">In </w:t>
      </w:r>
      <w:r w:rsidR="007A4CF1">
        <w:rPr>
          <w:rFonts w:asciiTheme="minorHAnsi" w:hAnsiTheme="minorHAnsi"/>
          <w:sz w:val="22"/>
          <w:szCs w:val="22"/>
        </w:rPr>
        <w:t>STAR</w:t>
      </w:r>
      <w:r>
        <w:rPr>
          <w:rFonts w:asciiTheme="minorHAnsi" w:hAnsiTheme="minorHAnsi"/>
          <w:sz w:val="22"/>
          <w:szCs w:val="22"/>
        </w:rPr>
        <w:t xml:space="preserve">, only one Business Unit may be associated with each </w:t>
      </w:r>
      <w:r w:rsidR="00073530">
        <w:rPr>
          <w:rFonts w:asciiTheme="minorHAnsi" w:hAnsiTheme="minorHAnsi"/>
          <w:sz w:val="22"/>
          <w:szCs w:val="22"/>
        </w:rPr>
        <w:t xml:space="preserve">bank account.  </w:t>
      </w:r>
      <w:r>
        <w:rPr>
          <w:rFonts w:asciiTheme="minorHAnsi" w:hAnsiTheme="minorHAnsi"/>
          <w:sz w:val="22"/>
          <w:szCs w:val="22"/>
        </w:rPr>
        <w:t xml:space="preserve">And, each G/L cash account must be associated with a bank account.  </w:t>
      </w:r>
      <w:r w:rsidR="00073530">
        <w:rPr>
          <w:rFonts w:asciiTheme="minorHAnsi" w:hAnsiTheme="minorHAnsi"/>
          <w:sz w:val="22"/>
          <w:szCs w:val="22"/>
        </w:rPr>
        <w:t xml:space="preserve">Since the State of Wisconsin has centralized its cash management operations, a single cash concentration bank account is used for deposits across </w:t>
      </w:r>
      <w:r w:rsidR="00073530" w:rsidRPr="008451D3">
        <w:rPr>
          <w:rFonts w:asciiTheme="minorHAnsi" w:hAnsiTheme="minorHAnsi"/>
          <w:sz w:val="22"/>
          <w:szCs w:val="22"/>
          <w:u w:val="single"/>
        </w:rPr>
        <w:t>all</w:t>
      </w:r>
      <w:r w:rsidR="00073530">
        <w:rPr>
          <w:rFonts w:asciiTheme="minorHAnsi" w:hAnsiTheme="minorHAnsi"/>
          <w:sz w:val="22"/>
          <w:szCs w:val="22"/>
        </w:rPr>
        <w:t xml:space="preserve"> agencie</w:t>
      </w:r>
      <w:r w:rsidR="00C03FFB">
        <w:rPr>
          <w:rFonts w:asciiTheme="minorHAnsi" w:hAnsiTheme="minorHAnsi"/>
          <w:sz w:val="22"/>
          <w:szCs w:val="22"/>
        </w:rPr>
        <w:t xml:space="preserve">s.  </w:t>
      </w:r>
      <w:proofErr w:type="gramStart"/>
      <w:r w:rsidR="00C03FFB">
        <w:rPr>
          <w:rFonts w:asciiTheme="minorHAnsi" w:hAnsiTheme="minorHAnsi"/>
          <w:sz w:val="22"/>
          <w:szCs w:val="22"/>
        </w:rPr>
        <w:t>In order to</w:t>
      </w:r>
      <w:proofErr w:type="gramEnd"/>
      <w:r w:rsidR="00C03FFB">
        <w:rPr>
          <w:rFonts w:asciiTheme="minorHAnsi" w:hAnsiTheme="minorHAnsi"/>
          <w:sz w:val="22"/>
          <w:szCs w:val="22"/>
        </w:rPr>
        <w:t xml:space="preserve"> accommodate this</w:t>
      </w:r>
      <w:r w:rsidR="00073530">
        <w:rPr>
          <w:rFonts w:asciiTheme="minorHAnsi" w:hAnsiTheme="minorHAnsi"/>
          <w:sz w:val="22"/>
          <w:szCs w:val="22"/>
        </w:rPr>
        <w:t>, a statewide cash management business unit “99900” has been associated with the state’s cash c</w:t>
      </w:r>
      <w:r w:rsidR="00C03FFB">
        <w:rPr>
          <w:rFonts w:asciiTheme="minorHAnsi" w:hAnsiTheme="minorHAnsi"/>
          <w:sz w:val="22"/>
          <w:szCs w:val="22"/>
        </w:rPr>
        <w:t xml:space="preserve">oncentration bank account in </w:t>
      </w:r>
      <w:r w:rsidR="007A4CF1">
        <w:rPr>
          <w:rFonts w:asciiTheme="minorHAnsi" w:hAnsiTheme="minorHAnsi"/>
          <w:sz w:val="22"/>
          <w:szCs w:val="22"/>
        </w:rPr>
        <w:t>STAR</w:t>
      </w:r>
      <w:r w:rsidR="00C03FFB">
        <w:rPr>
          <w:rFonts w:asciiTheme="minorHAnsi" w:hAnsiTheme="minorHAnsi"/>
          <w:sz w:val="22"/>
          <w:szCs w:val="22"/>
        </w:rPr>
        <w:t>.</w:t>
      </w:r>
      <w:r>
        <w:rPr>
          <w:rFonts w:asciiTheme="minorHAnsi" w:hAnsiTheme="minorHAnsi"/>
          <w:sz w:val="22"/>
          <w:szCs w:val="22"/>
        </w:rPr>
        <w:t xml:space="preserve">  Once the credit line is entered on the Accounting Entries page, and the “lightning bolt” is selected, the cash transaction will automatically be created corresponding to the Business Unit in the credit line.  In addition, a cash debit and offsetting cash credit are recorded to Business Unit 99900.  These cash offset transactions are not shown on the Accounting Entries page, but they will appear on the group of G/L transactions for the deposit.</w:t>
      </w:r>
    </w:p>
    <w:p w14:paraId="65C46E78" w14:textId="77777777" w:rsidR="003912EC" w:rsidRDefault="003912EC" w:rsidP="00EC6425">
      <w:pPr>
        <w:rPr>
          <w:rFonts w:asciiTheme="minorHAnsi" w:hAnsiTheme="minorHAnsi"/>
          <w:sz w:val="22"/>
          <w:szCs w:val="22"/>
        </w:rPr>
      </w:pPr>
    </w:p>
    <w:p w14:paraId="3BCEE0A3" w14:textId="77777777" w:rsidR="003912EC" w:rsidRPr="003912EC" w:rsidRDefault="003912EC" w:rsidP="00EC6425">
      <w:pPr>
        <w:rPr>
          <w:rFonts w:asciiTheme="minorHAnsi" w:hAnsiTheme="minorHAnsi"/>
          <w:sz w:val="22"/>
          <w:szCs w:val="22"/>
          <w:u w:val="single"/>
        </w:rPr>
      </w:pPr>
      <w:r w:rsidRPr="003912EC">
        <w:rPr>
          <w:rFonts w:asciiTheme="minorHAnsi" w:hAnsiTheme="minorHAnsi"/>
          <w:sz w:val="22"/>
          <w:szCs w:val="22"/>
          <w:u w:val="single"/>
        </w:rPr>
        <w:t>Processing the Regular Cash Deposit</w:t>
      </w:r>
    </w:p>
    <w:p w14:paraId="0A8CAE67" w14:textId="14812178" w:rsidR="005A6AF2" w:rsidRDefault="003912EC" w:rsidP="00EC6425">
      <w:pPr>
        <w:rPr>
          <w:rFonts w:asciiTheme="minorHAnsi" w:hAnsiTheme="minorHAnsi"/>
          <w:sz w:val="22"/>
          <w:szCs w:val="22"/>
        </w:rPr>
      </w:pPr>
      <w:r>
        <w:rPr>
          <w:rFonts w:asciiTheme="minorHAnsi" w:hAnsiTheme="minorHAnsi"/>
          <w:sz w:val="22"/>
          <w:szCs w:val="22"/>
        </w:rPr>
        <w:t xml:space="preserve">Agencies should not </w:t>
      </w:r>
      <w:r w:rsidRPr="00E649E1">
        <w:rPr>
          <w:rFonts w:asciiTheme="minorHAnsi" w:hAnsiTheme="minorHAnsi"/>
          <w:sz w:val="22"/>
          <w:szCs w:val="22"/>
          <w:u w:val="single"/>
        </w:rPr>
        <w:t>process</w:t>
      </w:r>
      <w:r>
        <w:rPr>
          <w:rFonts w:asciiTheme="minorHAnsi" w:hAnsiTheme="minorHAnsi"/>
          <w:sz w:val="22"/>
          <w:szCs w:val="22"/>
        </w:rPr>
        <w:t xml:space="preserve"> Regular Cash Deposits in </w:t>
      </w:r>
      <w:r w:rsidR="007A4CF1">
        <w:rPr>
          <w:rFonts w:asciiTheme="minorHAnsi" w:hAnsiTheme="minorHAnsi"/>
          <w:sz w:val="22"/>
          <w:szCs w:val="22"/>
        </w:rPr>
        <w:t>STAR</w:t>
      </w:r>
      <w:r>
        <w:rPr>
          <w:rFonts w:asciiTheme="minorHAnsi" w:hAnsiTheme="minorHAnsi"/>
          <w:sz w:val="22"/>
          <w:szCs w:val="22"/>
        </w:rPr>
        <w:t>.  Once the transaction has been entered, they should send an email to the Cash Receipts functional email address</w:t>
      </w:r>
      <w:r w:rsidR="0060657A">
        <w:rPr>
          <w:rFonts w:asciiTheme="minorHAnsi" w:hAnsiTheme="minorHAnsi"/>
          <w:sz w:val="22"/>
          <w:szCs w:val="22"/>
        </w:rPr>
        <w:t>, DOACashReceipts@wisconsin.gov</w:t>
      </w:r>
      <w:r>
        <w:rPr>
          <w:rFonts w:asciiTheme="minorHAnsi" w:hAnsiTheme="minorHAnsi"/>
          <w:sz w:val="22"/>
          <w:szCs w:val="22"/>
        </w:rPr>
        <w:t xml:space="preserve">.  The email must contain the Business Unit, Deposit ID and Dollar Amount.  </w:t>
      </w:r>
      <w:r w:rsidR="00A40271">
        <w:rPr>
          <w:rFonts w:asciiTheme="minorHAnsi" w:hAnsiTheme="minorHAnsi"/>
          <w:sz w:val="22"/>
          <w:szCs w:val="22"/>
        </w:rPr>
        <w:t xml:space="preserve">For check deposits, the agency is responsible for restrictively endorsing, e.g. “Pay to the order of U.S. Bank, For deposit only, State of Wisconsin, XXXXXX166”.  </w:t>
      </w:r>
      <w:r>
        <w:rPr>
          <w:rFonts w:asciiTheme="minorHAnsi" w:hAnsiTheme="minorHAnsi"/>
          <w:sz w:val="22"/>
          <w:szCs w:val="22"/>
        </w:rPr>
        <w:t xml:space="preserve">The SCO will then match the deposit received in the bank account with the </w:t>
      </w:r>
      <w:r w:rsidR="007A4CF1">
        <w:rPr>
          <w:rFonts w:asciiTheme="minorHAnsi" w:hAnsiTheme="minorHAnsi"/>
          <w:sz w:val="22"/>
          <w:szCs w:val="22"/>
        </w:rPr>
        <w:t>STAR</w:t>
      </w:r>
      <w:r>
        <w:rPr>
          <w:rFonts w:asciiTheme="minorHAnsi" w:hAnsiTheme="minorHAnsi"/>
          <w:sz w:val="22"/>
          <w:szCs w:val="22"/>
        </w:rPr>
        <w:t xml:space="preserve"> Regular Deposit, and check the “Complete” check box:</w:t>
      </w:r>
    </w:p>
    <w:p w14:paraId="520B4915" w14:textId="77777777" w:rsidR="003912EC" w:rsidRDefault="003912EC" w:rsidP="00EC6425">
      <w:pPr>
        <w:rPr>
          <w:rFonts w:asciiTheme="minorHAnsi" w:hAnsiTheme="minorHAnsi"/>
          <w:sz w:val="22"/>
          <w:szCs w:val="22"/>
        </w:rPr>
      </w:pPr>
    </w:p>
    <w:p w14:paraId="15FF9627" w14:textId="77777777" w:rsidR="003912EC" w:rsidRDefault="003912EC" w:rsidP="00EC6425">
      <w:pPr>
        <w:rPr>
          <w:rFonts w:asciiTheme="minorHAnsi" w:hAnsiTheme="minorHAnsi"/>
          <w:sz w:val="22"/>
          <w:szCs w:val="22"/>
        </w:rPr>
      </w:pPr>
      <w:r>
        <w:rPr>
          <w:rFonts w:asciiTheme="minorHAnsi" w:hAnsiTheme="minorHAnsi"/>
          <w:noProof/>
          <w:sz w:val="22"/>
          <w:szCs w:val="22"/>
        </w:rPr>
        <w:drawing>
          <wp:inline distT="0" distB="0" distL="0" distR="0" wp14:anchorId="3CEA81CC" wp14:editId="0B8247C1">
            <wp:extent cx="5277587" cy="88594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37B4.tmp"/>
                    <pic:cNvPicPr/>
                  </pic:nvPicPr>
                  <pic:blipFill>
                    <a:blip r:embed="rId8">
                      <a:extLst>
                        <a:ext uri="{28A0092B-C50C-407E-A947-70E740481C1C}">
                          <a14:useLocalDpi xmlns:a14="http://schemas.microsoft.com/office/drawing/2010/main" val="0"/>
                        </a:ext>
                      </a:extLst>
                    </a:blip>
                    <a:stretch>
                      <a:fillRect/>
                    </a:stretch>
                  </pic:blipFill>
                  <pic:spPr>
                    <a:xfrm>
                      <a:off x="0" y="0"/>
                      <a:ext cx="5277587" cy="885949"/>
                    </a:xfrm>
                    <a:prstGeom prst="rect">
                      <a:avLst/>
                    </a:prstGeom>
                  </pic:spPr>
                </pic:pic>
              </a:graphicData>
            </a:graphic>
          </wp:inline>
        </w:drawing>
      </w:r>
    </w:p>
    <w:p w14:paraId="093022C0" w14:textId="77777777" w:rsidR="00E649E1" w:rsidRDefault="00E649E1" w:rsidP="00EC6425">
      <w:pPr>
        <w:rPr>
          <w:rFonts w:asciiTheme="minorHAnsi" w:hAnsiTheme="minorHAnsi"/>
          <w:sz w:val="22"/>
          <w:szCs w:val="22"/>
        </w:rPr>
      </w:pPr>
    </w:p>
    <w:p w14:paraId="16B1C54B" w14:textId="18C583B9" w:rsidR="00E649E1" w:rsidRDefault="00E649E1" w:rsidP="00EC6425">
      <w:pPr>
        <w:rPr>
          <w:rFonts w:asciiTheme="minorHAnsi" w:hAnsiTheme="minorHAnsi"/>
          <w:sz w:val="22"/>
          <w:szCs w:val="22"/>
        </w:rPr>
      </w:pPr>
      <w:r>
        <w:rPr>
          <w:rFonts w:asciiTheme="minorHAnsi" w:hAnsiTheme="minorHAnsi"/>
          <w:sz w:val="22"/>
          <w:szCs w:val="22"/>
        </w:rPr>
        <w:t>This process flow ensures the accuracy of the State’s cash balances as reported within STAR.</w:t>
      </w:r>
    </w:p>
    <w:p w14:paraId="2DDA68B5" w14:textId="77777777" w:rsidR="00777A77" w:rsidRPr="00777A77" w:rsidRDefault="00777A77" w:rsidP="00777A77">
      <w:pPr>
        <w:rPr>
          <w:rFonts w:asciiTheme="minorHAnsi" w:hAnsiTheme="minorHAnsi"/>
          <w:sz w:val="22"/>
          <w:szCs w:val="22"/>
        </w:rPr>
      </w:pPr>
    </w:p>
    <w:p w14:paraId="57F020EC" w14:textId="424D57A4" w:rsidR="00BF44D7" w:rsidRPr="003912EC" w:rsidRDefault="00BF44D7" w:rsidP="00BF44D7">
      <w:pPr>
        <w:rPr>
          <w:rFonts w:asciiTheme="minorHAnsi" w:hAnsiTheme="minorHAnsi"/>
          <w:sz w:val="22"/>
          <w:szCs w:val="22"/>
          <w:u w:val="single"/>
        </w:rPr>
      </w:pPr>
      <w:r>
        <w:rPr>
          <w:rFonts w:asciiTheme="minorHAnsi" w:hAnsiTheme="minorHAnsi"/>
          <w:sz w:val="22"/>
          <w:szCs w:val="22"/>
          <w:u w:val="single"/>
        </w:rPr>
        <w:t>Other Guidelines</w:t>
      </w:r>
    </w:p>
    <w:p w14:paraId="25439BE8" w14:textId="77777777" w:rsidR="00693D6B" w:rsidRPr="002916DB" w:rsidRDefault="00693D6B" w:rsidP="00777A77">
      <w:pPr>
        <w:rPr>
          <w:rFonts w:asciiTheme="minorHAnsi" w:hAnsiTheme="minorHAnsi"/>
          <w:sz w:val="22"/>
          <w:szCs w:val="22"/>
        </w:rPr>
      </w:pPr>
      <w:r w:rsidRPr="002916DB">
        <w:rPr>
          <w:rFonts w:asciiTheme="minorHAnsi" w:hAnsiTheme="minorHAnsi"/>
          <w:sz w:val="22"/>
          <w:szCs w:val="22"/>
        </w:rPr>
        <w:t xml:space="preserve">Agencies should test deposit coding in User Acceptance Testing to ensure there are no combo/edit errors.  </w:t>
      </w:r>
    </w:p>
    <w:p w14:paraId="6AADF0F5" w14:textId="77777777" w:rsidR="00777A77" w:rsidRPr="002916DB" w:rsidRDefault="00777A77" w:rsidP="00777A77">
      <w:pPr>
        <w:rPr>
          <w:rFonts w:asciiTheme="minorHAnsi" w:hAnsiTheme="minorHAnsi"/>
          <w:sz w:val="22"/>
          <w:szCs w:val="22"/>
        </w:rPr>
      </w:pPr>
    </w:p>
    <w:p w14:paraId="38DBE263" w14:textId="26DE2A97" w:rsidR="00777A77" w:rsidRPr="002916DB" w:rsidRDefault="00777A77" w:rsidP="00777A77">
      <w:pPr>
        <w:rPr>
          <w:rFonts w:asciiTheme="minorHAnsi" w:hAnsiTheme="minorHAnsi"/>
          <w:sz w:val="22"/>
          <w:szCs w:val="22"/>
        </w:rPr>
      </w:pPr>
      <w:r w:rsidRPr="002916DB">
        <w:rPr>
          <w:rFonts w:asciiTheme="minorHAnsi" w:hAnsiTheme="minorHAnsi"/>
          <w:sz w:val="22"/>
          <w:szCs w:val="22"/>
        </w:rPr>
        <w:t>Agencies should monitor their AR receivable deposits by viewing the query WI_AR_ITEM_PAY_NOTPOSTED_TO_GL to ensure the correct dollar amount has posted.</w:t>
      </w:r>
    </w:p>
    <w:p w14:paraId="3414A970" w14:textId="77777777" w:rsidR="00777A77" w:rsidRPr="00777A77" w:rsidRDefault="00777A77" w:rsidP="00777A77">
      <w:pPr>
        <w:rPr>
          <w:rFonts w:asciiTheme="minorHAnsi" w:hAnsiTheme="minorHAnsi"/>
          <w:sz w:val="22"/>
          <w:szCs w:val="22"/>
        </w:rPr>
      </w:pPr>
    </w:p>
    <w:p w14:paraId="6688BD97" w14:textId="17B50B93" w:rsidR="00777A77" w:rsidRPr="002916DB" w:rsidRDefault="00777A77" w:rsidP="00777A77">
      <w:pPr>
        <w:rPr>
          <w:rFonts w:asciiTheme="minorHAnsi" w:hAnsiTheme="minorHAnsi"/>
          <w:sz w:val="22"/>
          <w:szCs w:val="22"/>
        </w:rPr>
      </w:pPr>
      <w:r w:rsidRPr="002916DB">
        <w:rPr>
          <w:rFonts w:asciiTheme="minorHAnsi" w:hAnsiTheme="minorHAnsi"/>
          <w:sz w:val="22"/>
          <w:szCs w:val="22"/>
        </w:rPr>
        <w:t>Agencies should monitor their AR direct journal deposits by viewing query WI_AR_DIRC_JRNL_DEP_NOPOST_GL2 to ensure there are no budget errors.</w:t>
      </w:r>
    </w:p>
    <w:p w14:paraId="1789D0BC" w14:textId="77777777" w:rsidR="00777A77" w:rsidRPr="002916DB" w:rsidRDefault="00777A77" w:rsidP="00777A77">
      <w:pPr>
        <w:rPr>
          <w:rFonts w:asciiTheme="minorHAnsi" w:hAnsiTheme="minorHAnsi"/>
          <w:sz w:val="22"/>
          <w:szCs w:val="22"/>
        </w:rPr>
      </w:pPr>
    </w:p>
    <w:p w14:paraId="2DC0DBF7" w14:textId="0FE842DE" w:rsidR="00693D6B" w:rsidRPr="002916DB" w:rsidRDefault="00693D6B" w:rsidP="00777A77">
      <w:pPr>
        <w:rPr>
          <w:rFonts w:asciiTheme="minorHAnsi" w:hAnsiTheme="minorHAnsi"/>
          <w:sz w:val="22"/>
          <w:szCs w:val="22"/>
        </w:rPr>
      </w:pPr>
      <w:r w:rsidRPr="002916DB">
        <w:rPr>
          <w:rFonts w:asciiTheme="minorHAnsi" w:hAnsiTheme="minorHAnsi"/>
          <w:sz w:val="22"/>
          <w:szCs w:val="22"/>
        </w:rPr>
        <w:t>Agencies must enter the accounting for deposit</w:t>
      </w:r>
      <w:r w:rsidR="000B0799" w:rsidRPr="002916DB">
        <w:rPr>
          <w:rFonts w:asciiTheme="minorHAnsi" w:hAnsiTheme="minorHAnsi"/>
          <w:sz w:val="22"/>
          <w:szCs w:val="22"/>
        </w:rPr>
        <w:t>s</w:t>
      </w:r>
      <w:r w:rsidRPr="002916DB">
        <w:rPr>
          <w:rFonts w:asciiTheme="minorHAnsi" w:hAnsiTheme="minorHAnsi"/>
          <w:sz w:val="22"/>
          <w:szCs w:val="22"/>
        </w:rPr>
        <w:t xml:space="preserve"> before sending </w:t>
      </w:r>
      <w:r w:rsidR="000B0799" w:rsidRPr="002916DB">
        <w:rPr>
          <w:rFonts w:asciiTheme="minorHAnsi" w:hAnsiTheme="minorHAnsi"/>
          <w:sz w:val="22"/>
          <w:szCs w:val="22"/>
        </w:rPr>
        <w:t>them</w:t>
      </w:r>
      <w:r w:rsidRPr="002916DB">
        <w:rPr>
          <w:rFonts w:asciiTheme="minorHAnsi" w:hAnsiTheme="minorHAnsi"/>
          <w:sz w:val="22"/>
          <w:szCs w:val="22"/>
        </w:rPr>
        <w:t xml:space="preserve"> to the SCO.</w:t>
      </w:r>
    </w:p>
    <w:p w14:paraId="197A3B89" w14:textId="014AABE6" w:rsidR="000B0799" w:rsidRPr="002916DB" w:rsidRDefault="000B0799" w:rsidP="00777A77">
      <w:pPr>
        <w:rPr>
          <w:rFonts w:asciiTheme="minorHAnsi" w:hAnsiTheme="minorHAnsi"/>
          <w:sz w:val="22"/>
          <w:szCs w:val="22"/>
        </w:rPr>
      </w:pPr>
    </w:p>
    <w:p w14:paraId="28B141B7" w14:textId="1F62C323" w:rsidR="000B0799" w:rsidRPr="002916DB" w:rsidRDefault="000B0799" w:rsidP="00777A77">
      <w:pPr>
        <w:rPr>
          <w:rFonts w:asciiTheme="minorHAnsi" w:hAnsiTheme="minorHAnsi"/>
          <w:sz w:val="22"/>
          <w:szCs w:val="22"/>
        </w:rPr>
      </w:pPr>
      <w:r w:rsidRPr="002916DB">
        <w:rPr>
          <w:rFonts w:asciiTheme="minorHAnsi" w:hAnsiTheme="minorHAnsi"/>
          <w:sz w:val="22"/>
          <w:szCs w:val="22"/>
        </w:rPr>
        <w:t>Agencies should ensure deposits are in balance before sending them to the SCO.</w:t>
      </w:r>
    </w:p>
    <w:p w14:paraId="2AE4DF12" w14:textId="294E88B6" w:rsidR="00C3413A" w:rsidRPr="002916DB" w:rsidRDefault="00C3413A" w:rsidP="00777A77">
      <w:pPr>
        <w:rPr>
          <w:rFonts w:asciiTheme="minorHAnsi" w:hAnsiTheme="minorHAnsi"/>
          <w:sz w:val="22"/>
          <w:szCs w:val="22"/>
        </w:rPr>
      </w:pPr>
    </w:p>
    <w:p w14:paraId="44DF796C" w14:textId="1A34C159" w:rsidR="00C3413A" w:rsidRPr="002916DB" w:rsidRDefault="00C3413A" w:rsidP="00777A77">
      <w:pPr>
        <w:rPr>
          <w:rFonts w:asciiTheme="minorHAnsi" w:hAnsiTheme="minorHAnsi"/>
          <w:sz w:val="22"/>
          <w:szCs w:val="22"/>
        </w:rPr>
      </w:pPr>
      <w:r w:rsidRPr="002916DB">
        <w:rPr>
          <w:rFonts w:asciiTheme="minorHAnsi" w:hAnsiTheme="minorHAnsi"/>
          <w:sz w:val="22"/>
          <w:szCs w:val="22"/>
        </w:rPr>
        <w:t>Agencies should ensure check deposits are sent to the bank promptly.</w:t>
      </w:r>
    </w:p>
    <w:p w14:paraId="1A4C16AD" w14:textId="77777777" w:rsidR="00777A77" w:rsidRPr="002916DB" w:rsidRDefault="00777A77" w:rsidP="00777A77">
      <w:pPr>
        <w:rPr>
          <w:rFonts w:asciiTheme="minorHAnsi" w:hAnsiTheme="minorHAnsi"/>
          <w:sz w:val="22"/>
          <w:szCs w:val="22"/>
        </w:rPr>
      </w:pPr>
    </w:p>
    <w:p w14:paraId="4F315838" w14:textId="00965293" w:rsidR="00777A77" w:rsidRPr="002916DB" w:rsidRDefault="00777A77" w:rsidP="00777A77">
      <w:pPr>
        <w:rPr>
          <w:rFonts w:asciiTheme="minorHAnsi" w:hAnsiTheme="minorHAnsi"/>
          <w:sz w:val="22"/>
          <w:szCs w:val="22"/>
        </w:rPr>
      </w:pPr>
      <w:r w:rsidRPr="002916DB">
        <w:rPr>
          <w:rFonts w:asciiTheme="minorHAnsi" w:hAnsiTheme="minorHAnsi"/>
          <w:sz w:val="22"/>
          <w:szCs w:val="22"/>
        </w:rPr>
        <w:t>If agencies combine multiple STAR transactions with one bank transaction or multiple bank transactions with one STAR transaction, the SCO needs to be notified</w:t>
      </w:r>
      <w:r w:rsidR="003C23B6">
        <w:rPr>
          <w:rFonts w:asciiTheme="minorHAnsi" w:hAnsiTheme="minorHAnsi"/>
          <w:sz w:val="22"/>
          <w:szCs w:val="22"/>
        </w:rPr>
        <w:t>.  These notifications</w:t>
      </w:r>
      <w:r w:rsidR="003C23B6">
        <w:rPr>
          <w:rFonts w:asciiTheme="minorHAnsi" w:hAnsiTheme="minorHAnsi"/>
          <w:sz w:val="22"/>
          <w:szCs w:val="22"/>
        </w:rPr>
        <w:t xml:space="preserve"> should </w:t>
      </w:r>
      <w:r w:rsidR="003C23B6">
        <w:rPr>
          <w:rFonts w:asciiTheme="minorHAnsi" w:hAnsiTheme="minorHAnsi"/>
          <w:sz w:val="22"/>
          <w:szCs w:val="22"/>
        </w:rPr>
        <w:t>be sent via e</w:t>
      </w:r>
      <w:r w:rsidR="003C23B6">
        <w:rPr>
          <w:rFonts w:asciiTheme="minorHAnsi" w:hAnsiTheme="minorHAnsi"/>
          <w:sz w:val="22"/>
          <w:szCs w:val="22"/>
        </w:rPr>
        <w:t xml:space="preserve">mail to DOACashReceipts@wisconsin.gov.    </w:t>
      </w:r>
    </w:p>
    <w:p w14:paraId="5C0622A2" w14:textId="77777777" w:rsidR="00777A77" w:rsidRPr="002916DB" w:rsidRDefault="00777A77" w:rsidP="00777A77">
      <w:pPr>
        <w:rPr>
          <w:rFonts w:asciiTheme="minorHAnsi" w:hAnsiTheme="minorHAnsi"/>
          <w:sz w:val="22"/>
          <w:szCs w:val="22"/>
        </w:rPr>
      </w:pPr>
    </w:p>
    <w:p w14:paraId="5AC34D8C" w14:textId="3312319D" w:rsidR="00693D6B" w:rsidRPr="002916DB" w:rsidRDefault="00693D6B" w:rsidP="00777A77">
      <w:pPr>
        <w:rPr>
          <w:rFonts w:asciiTheme="minorHAnsi" w:hAnsiTheme="minorHAnsi"/>
          <w:sz w:val="22"/>
          <w:szCs w:val="22"/>
        </w:rPr>
      </w:pPr>
      <w:r w:rsidRPr="002916DB">
        <w:rPr>
          <w:rFonts w:asciiTheme="minorHAnsi" w:hAnsiTheme="minorHAnsi"/>
          <w:sz w:val="22"/>
          <w:szCs w:val="22"/>
        </w:rPr>
        <w:t>Agencies should enter deposits for wires and/or ACH’s once they have been notified by the SCO.</w:t>
      </w:r>
    </w:p>
    <w:p w14:paraId="74F5C42F" w14:textId="77777777" w:rsidR="00777A77" w:rsidRPr="002916DB" w:rsidRDefault="00777A77" w:rsidP="00777A77">
      <w:pPr>
        <w:rPr>
          <w:rFonts w:asciiTheme="minorHAnsi" w:hAnsiTheme="minorHAnsi"/>
          <w:sz w:val="22"/>
          <w:szCs w:val="22"/>
        </w:rPr>
      </w:pPr>
    </w:p>
    <w:p w14:paraId="6BCF2E01" w14:textId="77777777" w:rsidR="00777A77" w:rsidRPr="00777A77" w:rsidRDefault="00777A77" w:rsidP="00777A77">
      <w:pPr>
        <w:rPr>
          <w:rFonts w:asciiTheme="minorHAnsi" w:hAnsiTheme="minorHAnsi"/>
          <w:sz w:val="22"/>
          <w:szCs w:val="22"/>
        </w:rPr>
      </w:pPr>
    </w:p>
    <w:p w14:paraId="1F62969B" w14:textId="77777777" w:rsidR="00693D6B" w:rsidRPr="00073530" w:rsidRDefault="00693D6B" w:rsidP="00777A77">
      <w:pPr>
        <w:rPr>
          <w:rFonts w:asciiTheme="minorHAnsi" w:hAnsiTheme="minorHAnsi"/>
          <w:sz w:val="22"/>
          <w:szCs w:val="22"/>
        </w:rPr>
      </w:pPr>
    </w:p>
    <w:sectPr w:rsidR="00693D6B" w:rsidRPr="00073530">
      <w:headerReference w:type="default" r:id="rId9"/>
      <w:footerReference w:type="default" r:id="rId10"/>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C377" w14:textId="77777777" w:rsidR="0078641C" w:rsidRDefault="0078641C">
      <w:r>
        <w:separator/>
      </w:r>
    </w:p>
  </w:endnote>
  <w:endnote w:type="continuationSeparator" w:id="0">
    <w:p w14:paraId="33A857A5" w14:textId="77777777" w:rsidR="0078641C" w:rsidRDefault="0078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48"/>
      <w:gridCol w:w="972"/>
    </w:tblGrid>
    <w:tr w:rsidR="0047617F" w14:paraId="7EB52BCE" w14:textId="77777777" w:rsidTr="0047617F">
      <w:tc>
        <w:tcPr>
          <w:tcW w:w="4500" w:type="pct"/>
          <w:tcBorders>
            <w:top w:val="single" w:sz="4" w:space="0" w:color="000000" w:themeColor="text1"/>
          </w:tcBorders>
        </w:tcPr>
        <w:p w14:paraId="764ADF1B" w14:textId="77777777" w:rsidR="0047617F" w:rsidRPr="0047617F" w:rsidRDefault="0047617F">
          <w:pPr>
            <w:pStyle w:val="Footer"/>
            <w:jc w:val="right"/>
            <w:rPr>
              <w:rFonts w:asciiTheme="minorHAnsi" w:hAnsiTheme="minorHAnsi"/>
            </w:rPr>
          </w:pPr>
          <w:r w:rsidRPr="0047617F">
            <w:rPr>
              <w:rFonts w:asciiTheme="minorHAnsi" w:hAnsiTheme="minorHAnsi"/>
            </w:rPr>
            <w:t>Wisconsin Accounting Manual</w:t>
          </w:r>
        </w:p>
      </w:tc>
      <w:tc>
        <w:tcPr>
          <w:tcW w:w="500" w:type="pct"/>
          <w:tcBorders>
            <w:top w:val="single" w:sz="4" w:space="0" w:color="C0504D" w:themeColor="accent2"/>
          </w:tcBorders>
          <w:shd w:val="clear" w:color="auto" w:fill="BFBFBF" w:themeFill="background1" w:themeFillShade="BF"/>
        </w:tcPr>
        <w:p w14:paraId="315E0366" w14:textId="77777777" w:rsidR="0047617F" w:rsidRPr="0047617F" w:rsidRDefault="0047617F">
          <w:pPr>
            <w:pStyle w:val="Header"/>
            <w:rPr>
              <w:rFonts w:asciiTheme="minorHAnsi" w:hAnsiTheme="minorHAnsi"/>
              <w:b/>
              <w:color w:val="FFFFFF" w:themeColor="background1"/>
            </w:rPr>
          </w:pPr>
          <w:r w:rsidRPr="0047617F">
            <w:rPr>
              <w:rFonts w:asciiTheme="minorHAnsi" w:hAnsiTheme="minorHAnsi"/>
              <w:b/>
            </w:rPr>
            <w:fldChar w:fldCharType="begin"/>
          </w:r>
          <w:r w:rsidRPr="0047617F">
            <w:rPr>
              <w:rFonts w:asciiTheme="minorHAnsi" w:hAnsiTheme="minorHAnsi"/>
              <w:b/>
            </w:rPr>
            <w:instrText xml:space="preserve"> PAGE   \* MERGEFORMAT </w:instrText>
          </w:r>
          <w:r w:rsidRPr="0047617F">
            <w:rPr>
              <w:rFonts w:asciiTheme="minorHAnsi" w:hAnsiTheme="minorHAnsi"/>
              <w:b/>
            </w:rPr>
            <w:fldChar w:fldCharType="separate"/>
          </w:r>
          <w:r w:rsidR="00A40271" w:rsidRPr="00A40271">
            <w:rPr>
              <w:rFonts w:asciiTheme="minorHAnsi" w:hAnsiTheme="minorHAnsi"/>
              <w:b/>
              <w:noProof/>
              <w:color w:val="FFFFFF" w:themeColor="background1"/>
            </w:rPr>
            <w:t>2</w:t>
          </w:r>
          <w:r w:rsidRPr="0047617F">
            <w:rPr>
              <w:rFonts w:asciiTheme="minorHAnsi" w:hAnsiTheme="minorHAnsi"/>
              <w:b/>
              <w:noProof/>
              <w:color w:val="FFFFFF" w:themeColor="background1"/>
            </w:rPr>
            <w:fldChar w:fldCharType="end"/>
          </w:r>
        </w:p>
      </w:tc>
    </w:tr>
  </w:tbl>
  <w:p w14:paraId="075E702E" w14:textId="77777777" w:rsidR="0047617F" w:rsidRDefault="0047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6605" w14:textId="77777777" w:rsidR="0078641C" w:rsidRDefault="0078641C">
      <w:r>
        <w:separator/>
      </w:r>
    </w:p>
  </w:footnote>
  <w:footnote w:type="continuationSeparator" w:id="0">
    <w:p w14:paraId="283A7D1B" w14:textId="77777777" w:rsidR="0078641C" w:rsidRDefault="0078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BD7C" w14:textId="77777777" w:rsidR="000E3FD5" w:rsidRDefault="000E3FD5" w:rsidP="0089100E">
    <w:pPr>
      <w:spacing w:line="240" w:lineRule="exact"/>
      <w:rPr>
        <w:rFonts w:asciiTheme="minorHAnsi" w:hAnsiTheme="minorHAnsi"/>
        <w:sz w:val="22"/>
        <w:szCs w:val="22"/>
      </w:rPr>
    </w:pPr>
  </w:p>
  <w:tbl>
    <w:tblPr>
      <w:tblStyle w:val="TableGrid"/>
      <w:tblW w:w="9810" w:type="dxa"/>
      <w:tblInd w:w="108"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442"/>
    </w:tblGrid>
    <w:tr w:rsidR="008F15AC" w14:paraId="1307FFF7" w14:textId="77777777" w:rsidTr="008F15AC">
      <w:tc>
        <w:tcPr>
          <w:tcW w:w="1368" w:type="dxa"/>
        </w:tcPr>
        <w:p w14:paraId="43F70980" w14:textId="77777777" w:rsidR="008F15AC" w:rsidRDefault="008F15AC" w:rsidP="008550F8">
          <w:r>
            <w:rPr>
              <w:noProof/>
            </w:rPr>
            <w:drawing>
              <wp:inline distT="0" distB="0" distL="0" distR="0" wp14:anchorId="22226011" wp14:editId="1BCC3815">
                <wp:extent cx="714375" cy="763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16090" cy="765137"/>
                        </a:xfrm>
                        <a:prstGeom prst="rect">
                          <a:avLst/>
                        </a:prstGeom>
                      </pic:spPr>
                    </pic:pic>
                  </a:graphicData>
                </a:graphic>
              </wp:inline>
            </w:drawing>
          </w:r>
        </w:p>
      </w:tc>
      <w:tc>
        <w:tcPr>
          <w:tcW w:w="8442" w:type="dxa"/>
        </w:tcPr>
        <w:p w14:paraId="773449F7" w14:textId="77777777" w:rsidR="008F15AC" w:rsidRDefault="008F15AC" w:rsidP="008550F8">
          <w:pPr>
            <w:spacing w:line="240" w:lineRule="exact"/>
            <w:rPr>
              <w:rFonts w:asciiTheme="minorHAnsi" w:hAnsiTheme="minorHAnsi"/>
              <w:b/>
              <w:sz w:val="24"/>
              <w:szCs w:val="24"/>
            </w:rPr>
          </w:pPr>
        </w:p>
        <w:p w14:paraId="2C067A19" w14:textId="77777777" w:rsidR="008F15AC" w:rsidRDefault="008F15AC" w:rsidP="008550F8">
          <w:pPr>
            <w:spacing w:line="240" w:lineRule="exact"/>
            <w:rPr>
              <w:rFonts w:asciiTheme="minorHAnsi" w:hAnsiTheme="minorHAnsi"/>
              <w:b/>
              <w:sz w:val="28"/>
              <w:szCs w:val="28"/>
            </w:rPr>
          </w:pPr>
        </w:p>
        <w:p w14:paraId="0F86E42E" w14:textId="77777777" w:rsidR="008F15AC" w:rsidRDefault="008F15AC" w:rsidP="008550F8">
          <w:pPr>
            <w:spacing w:line="240" w:lineRule="exact"/>
            <w:rPr>
              <w:rFonts w:asciiTheme="minorHAnsi" w:hAnsiTheme="minorHAnsi"/>
              <w:b/>
              <w:sz w:val="28"/>
              <w:szCs w:val="28"/>
            </w:rPr>
          </w:pPr>
        </w:p>
        <w:p w14:paraId="44EC7D0C" w14:textId="77777777" w:rsidR="008F15AC" w:rsidRPr="000A20E4" w:rsidRDefault="008F15AC" w:rsidP="008550F8">
          <w:pPr>
            <w:spacing w:line="240" w:lineRule="exact"/>
            <w:rPr>
              <w:rFonts w:asciiTheme="minorHAnsi" w:hAnsiTheme="minorHAnsi"/>
              <w:b/>
              <w:sz w:val="28"/>
              <w:szCs w:val="28"/>
            </w:rPr>
          </w:pPr>
          <w:r w:rsidRPr="000A20E4">
            <w:rPr>
              <w:rFonts w:asciiTheme="minorHAnsi" w:hAnsiTheme="minorHAnsi"/>
              <w:b/>
              <w:sz w:val="28"/>
              <w:szCs w:val="28"/>
            </w:rPr>
            <w:t>WISCONSIN ACCOUNTING MANUAL</w:t>
          </w:r>
        </w:p>
        <w:p w14:paraId="3F860203" w14:textId="77777777" w:rsidR="008F15AC" w:rsidRPr="000A20E4" w:rsidRDefault="008F15AC" w:rsidP="008550F8">
          <w:pPr>
            <w:spacing w:line="240" w:lineRule="exact"/>
            <w:rPr>
              <w:rFonts w:asciiTheme="minorHAnsi" w:hAnsiTheme="minorHAnsi"/>
              <w:sz w:val="22"/>
              <w:szCs w:val="22"/>
            </w:rPr>
          </w:pPr>
          <w:r w:rsidRPr="000E3FD5">
            <w:rPr>
              <w:rFonts w:asciiTheme="minorHAnsi" w:hAnsiTheme="minorHAnsi"/>
              <w:sz w:val="22"/>
              <w:szCs w:val="22"/>
            </w:rPr>
            <w:t>Department of Administration –</w:t>
          </w:r>
          <w:r>
            <w:rPr>
              <w:rFonts w:asciiTheme="minorHAnsi" w:hAnsiTheme="minorHAnsi"/>
              <w:sz w:val="22"/>
              <w:szCs w:val="22"/>
            </w:rPr>
            <w:t xml:space="preserve"> </w:t>
          </w:r>
          <w:r w:rsidRPr="000E3FD5">
            <w:rPr>
              <w:rFonts w:asciiTheme="minorHAnsi" w:hAnsiTheme="minorHAnsi"/>
              <w:sz w:val="22"/>
              <w:szCs w:val="22"/>
            </w:rPr>
            <w:t>State Controller’s Office</w:t>
          </w:r>
        </w:p>
      </w:tc>
    </w:tr>
  </w:tbl>
  <w:p w14:paraId="34F35629" w14:textId="77777777" w:rsidR="00B65D7B" w:rsidRDefault="00B65D7B" w:rsidP="000E3FD5">
    <w:pPr>
      <w:spacing w:line="240" w:lineRule="exact"/>
      <w:jc w:val="center"/>
      <w:rPr>
        <w:rFonts w:asciiTheme="minorHAnsi" w:hAnsiTheme="minorHAnsi"/>
        <w:sz w:val="22"/>
        <w:szCs w:val="2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322"/>
      <w:gridCol w:w="872"/>
      <w:gridCol w:w="4723"/>
      <w:gridCol w:w="1499"/>
      <w:gridCol w:w="1186"/>
    </w:tblGrid>
    <w:tr w:rsidR="00600667" w:rsidRPr="000E3FD5" w14:paraId="3756AF49" w14:textId="77777777" w:rsidTr="00F86CD7">
      <w:tc>
        <w:tcPr>
          <w:tcW w:w="1350" w:type="dxa"/>
          <w:shd w:val="clear" w:color="auto" w:fill="D9D9D9" w:themeFill="background1" w:themeFillShade="D9"/>
        </w:tcPr>
        <w:p w14:paraId="763D3BE8" w14:textId="77777777" w:rsidR="000E3FD5" w:rsidRPr="000E3FD5" w:rsidRDefault="008F15AC" w:rsidP="000E3FD5">
          <w:pPr>
            <w:spacing w:line="240" w:lineRule="exact"/>
            <w:rPr>
              <w:rFonts w:asciiTheme="minorHAnsi" w:hAnsiTheme="minorHAnsi"/>
              <w:b/>
              <w:sz w:val="22"/>
              <w:szCs w:val="22"/>
            </w:rPr>
          </w:pPr>
          <w:r>
            <w:rPr>
              <w:rFonts w:asciiTheme="minorHAnsi" w:hAnsiTheme="minorHAnsi"/>
              <w:b/>
              <w:sz w:val="22"/>
              <w:szCs w:val="22"/>
            </w:rPr>
            <w:t>Se</w:t>
          </w:r>
          <w:r w:rsidR="000E3FD5">
            <w:rPr>
              <w:rFonts w:asciiTheme="minorHAnsi" w:hAnsiTheme="minorHAnsi"/>
              <w:b/>
              <w:sz w:val="22"/>
              <w:szCs w:val="22"/>
            </w:rPr>
            <w:t>ction</w:t>
          </w:r>
        </w:p>
      </w:tc>
      <w:tc>
        <w:tcPr>
          <w:tcW w:w="900" w:type="dxa"/>
          <w:shd w:val="clear" w:color="auto" w:fill="D9D9D9" w:themeFill="background1" w:themeFillShade="D9"/>
        </w:tcPr>
        <w:p w14:paraId="26302B65" w14:textId="77777777" w:rsidR="000E3FD5" w:rsidRPr="000E3FD5" w:rsidRDefault="00B61277" w:rsidP="000E3FD5">
          <w:pPr>
            <w:spacing w:line="240" w:lineRule="exact"/>
            <w:jc w:val="center"/>
            <w:rPr>
              <w:rFonts w:asciiTheme="minorHAnsi" w:hAnsiTheme="minorHAnsi"/>
              <w:b/>
              <w:sz w:val="22"/>
              <w:szCs w:val="22"/>
            </w:rPr>
          </w:pPr>
          <w:r>
            <w:rPr>
              <w:rFonts w:asciiTheme="minorHAnsi" w:hAnsiTheme="minorHAnsi"/>
              <w:b/>
              <w:sz w:val="22"/>
              <w:szCs w:val="22"/>
            </w:rPr>
            <w:t>0</w:t>
          </w:r>
          <w:r w:rsidR="005D51A3">
            <w:rPr>
              <w:rFonts w:asciiTheme="minorHAnsi" w:hAnsiTheme="minorHAnsi"/>
              <w:b/>
              <w:sz w:val="22"/>
              <w:szCs w:val="22"/>
            </w:rPr>
            <w:t>9</w:t>
          </w:r>
        </w:p>
      </w:tc>
      <w:tc>
        <w:tcPr>
          <w:tcW w:w="4950" w:type="dxa"/>
          <w:shd w:val="clear" w:color="auto" w:fill="D9D9D9" w:themeFill="background1" w:themeFillShade="D9"/>
        </w:tcPr>
        <w:p w14:paraId="20FD7BC3" w14:textId="77777777" w:rsidR="000E3FD5" w:rsidRPr="000E3FD5" w:rsidRDefault="0089100E" w:rsidP="000E3FD5">
          <w:pPr>
            <w:spacing w:line="240" w:lineRule="exact"/>
            <w:rPr>
              <w:rFonts w:asciiTheme="minorHAnsi" w:hAnsiTheme="minorHAnsi"/>
              <w:b/>
              <w:sz w:val="22"/>
              <w:szCs w:val="22"/>
            </w:rPr>
          </w:pPr>
          <w:r>
            <w:rPr>
              <w:rFonts w:asciiTheme="minorHAnsi" w:hAnsiTheme="minorHAnsi"/>
              <w:b/>
              <w:sz w:val="22"/>
              <w:szCs w:val="22"/>
            </w:rPr>
            <w:t>TREASURY</w:t>
          </w:r>
        </w:p>
      </w:tc>
      <w:tc>
        <w:tcPr>
          <w:tcW w:w="1530" w:type="dxa"/>
          <w:shd w:val="clear" w:color="auto" w:fill="D9D9D9" w:themeFill="background1" w:themeFillShade="D9"/>
        </w:tcPr>
        <w:p w14:paraId="3781B8EA" w14:textId="77777777" w:rsidR="000E3FD5" w:rsidRPr="000E3FD5" w:rsidRDefault="000E3FD5" w:rsidP="000E3FD5">
          <w:pPr>
            <w:spacing w:line="240" w:lineRule="exact"/>
            <w:rPr>
              <w:rFonts w:asciiTheme="minorHAnsi" w:hAnsiTheme="minorHAnsi"/>
              <w:b/>
              <w:sz w:val="22"/>
              <w:szCs w:val="22"/>
            </w:rPr>
          </w:pPr>
          <w:r>
            <w:rPr>
              <w:rFonts w:asciiTheme="minorHAnsi" w:hAnsiTheme="minorHAnsi"/>
              <w:b/>
              <w:sz w:val="22"/>
              <w:szCs w:val="22"/>
            </w:rPr>
            <w:t>Effective Date</w:t>
          </w:r>
        </w:p>
      </w:tc>
      <w:tc>
        <w:tcPr>
          <w:tcW w:w="1080" w:type="dxa"/>
          <w:shd w:val="clear" w:color="auto" w:fill="D9D9D9" w:themeFill="background1" w:themeFillShade="D9"/>
        </w:tcPr>
        <w:p w14:paraId="069FB105" w14:textId="77777777" w:rsidR="000E3FD5" w:rsidRDefault="00821526" w:rsidP="000E3FD5">
          <w:pPr>
            <w:spacing w:line="240" w:lineRule="exact"/>
            <w:jc w:val="right"/>
            <w:rPr>
              <w:rFonts w:asciiTheme="minorHAnsi" w:hAnsiTheme="minorHAnsi"/>
              <w:b/>
              <w:sz w:val="22"/>
              <w:szCs w:val="22"/>
            </w:rPr>
          </w:pPr>
          <w:r>
            <w:rPr>
              <w:rFonts w:asciiTheme="minorHAnsi" w:hAnsiTheme="minorHAnsi"/>
              <w:b/>
              <w:sz w:val="22"/>
              <w:szCs w:val="22"/>
            </w:rPr>
            <w:t>10</w:t>
          </w:r>
          <w:r w:rsidR="000E3FD5">
            <w:rPr>
              <w:rFonts w:asciiTheme="minorHAnsi" w:hAnsiTheme="minorHAnsi"/>
              <w:b/>
              <w:sz w:val="22"/>
              <w:szCs w:val="22"/>
            </w:rPr>
            <w:t>/1/2015</w:t>
          </w:r>
        </w:p>
      </w:tc>
    </w:tr>
    <w:tr w:rsidR="00600667" w:rsidRPr="000E3FD5" w14:paraId="055FC667" w14:textId="77777777" w:rsidTr="00F86CD7">
      <w:tc>
        <w:tcPr>
          <w:tcW w:w="1350" w:type="dxa"/>
          <w:tcBorders>
            <w:bottom w:val="single" w:sz="4" w:space="0" w:color="auto"/>
          </w:tcBorders>
          <w:shd w:val="clear" w:color="auto" w:fill="D9D9D9" w:themeFill="background1" w:themeFillShade="D9"/>
        </w:tcPr>
        <w:p w14:paraId="138F4C47" w14:textId="77777777" w:rsidR="000E3FD5" w:rsidRDefault="000E3FD5" w:rsidP="000E3FD5">
          <w:pPr>
            <w:spacing w:line="240" w:lineRule="exact"/>
            <w:rPr>
              <w:rFonts w:asciiTheme="minorHAnsi" w:hAnsiTheme="minorHAnsi"/>
              <w:b/>
              <w:sz w:val="22"/>
              <w:szCs w:val="22"/>
            </w:rPr>
          </w:pPr>
          <w:r>
            <w:rPr>
              <w:rFonts w:asciiTheme="minorHAnsi" w:hAnsiTheme="minorHAnsi"/>
              <w:b/>
              <w:sz w:val="22"/>
              <w:szCs w:val="22"/>
            </w:rPr>
            <w:t>Sub-section</w:t>
          </w:r>
        </w:p>
      </w:tc>
      <w:tc>
        <w:tcPr>
          <w:tcW w:w="900" w:type="dxa"/>
          <w:tcBorders>
            <w:bottom w:val="single" w:sz="4" w:space="0" w:color="auto"/>
          </w:tcBorders>
          <w:shd w:val="clear" w:color="auto" w:fill="D9D9D9" w:themeFill="background1" w:themeFillShade="D9"/>
        </w:tcPr>
        <w:p w14:paraId="7B6E0194" w14:textId="77777777" w:rsidR="000E3FD5" w:rsidRPr="000E3FD5" w:rsidRDefault="00B61277" w:rsidP="000E3FD5">
          <w:pPr>
            <w:spacing w:line="240" w:lineRule="exact"/>
            <w:jc w:val="center"/>
            <w:rPr>
              <w:rFonts w:asciiTheme="minorHAnsi" w:hAnsiTheme="minorHAnsi"/>
              <w:b/>
              <w:sz w:val="22"/>
              <w:szCs w:val="22"/>
            </w:rPr>
          </w:pPr>
          <w:r>
            <w:rPr>
              <w:rFonts w:asciiTheme="minorHAnsi" w:hAnsiTheme="minorHAnsi"/>
              <w:b/>
              <w:sz w:val="22"/>
              <w:szCs w:val="22"/>
            </w:rPr>
            <w:t>0</w:t>
          </w:r>
          <w:r w:rsidR="000E3FD5">
            <w:rPr>
              <w:rFonts w:asciiTheme="minorHAnsi" w:hAnsiTheme="minorHAnsi"/>
              <w:b/>
              <w:sz w:val="22"/>
              <w:szCs w:val="22"/>
            </w:rPr>
            <w:t>1</w:t>
          </w:r>
        </w:p>
      </w:tc>
      <w:tc>
        <w:tcPr>
          <w:tcW w:w="4950" w:type="dxa"/>
          <w:tcBorders>
            <w:bottom w:val="single" w:sz="4" w:space="0" w:color="auto"/>
          </w:tcBorders>
          <w:shd w:val="clear" w:color="auto" w:fill="D9D9D9" w:themeFill="background1" w:themeFillShade="D9"/>
        </w:tcPr>
        <w:p w14:paraId="463F7709" w14:textId="77777777" w:rsidR="000E3FD5" w:rsidRPr="000E3FD5" w:rsidRDefault="008451D3" w:rsidP="00EC5317">
          <w:pPr>
            <w:spacing w:line="240" w:lineRule="exact"/>
            <w:rPr>
              <w:rFonts w:asciiTheme="minorHAnsi" w:hAnsiTheme="minorHAnsi"/>
              <w:b/>
              <w:sz w:val="22"/>
              <w:szCs w:val="22"/>
            </w:rPr>
          </w:pPr>
          <w:r>
            <w:rPr>
              <w:rFonts w:ascii="Calibri" w:hAnsi="Calibri"/>
              <w:b/>
              <w:sz w:val="22"/>
              <w:szCs w:val="22"/>
            </w:rPr>
            <w:t xml:space="preserve">Regular </w:t>
          </w:r>
          <w:r w:rsidR="00CC552E">
            <w:rPr>
              <w:rFonts w:ascii="Calibri" w:hAnsi="Calibri"/>
              <w:b/>
              <w:sz w:val="22"/>
              <w:szCs w:val="22"/>
            </w:rPr>
            <w:t xml:space="preserve">Cash </w:t>
          </w:r>
          <w:r w:rsidR="00FB02FD">
            <w:rPr>
              <w:rFonts w:ascii="Calibri" w:hAnsi="Calibri"/>
              <w:b/>
              <w:sz w:val="22"/>
              <w:szCs w:val="22"/>
            </w:rPr>
            <w:t>Deposits</w:t>
          </w:r>
        </w:p>
      </w:tc>
      <w:tc>
        <w:tcPr>
          <w:tcW w:w="1530" w:type="dxa"/>
          <w:shd w:val="clear" w:color="auto" w:fill="D9D9D9" w:themeFill="background1" w:themeFillShade="D9"/>
        </w:tcPr>
        <w:p w14:paraId="0BC6803F" w14:textId="77777777" w:rsidR="000E3FD5" w:rsidRPr="000E3FD5" w:rsidRDefault="000E3FD5" w:rsidP="000E3FD5">
          <w:pPr>
            <w:spacing w:line="240" w:lineRule="exact"/>
            <w:rPr>
              <w:rFonts w:asciiTheme="minorHAnsi" w:hAnsiTheme="minorHAnsi"/>
              <w:b/>
              <w:sz w:val="22"/>
              <w:szCs w:val="22"/>
            </w:rPr>
          </w:pPr>
          <w:r>
            <w:rPr>
              <w:rFonts w:asciiTheme="minorHAnsi" w:hAnsiTheme="minorHAnsi"/>
              <w:b/>
              <w:sz w:val="22"/>
              <w:szCs w:val="22"/>
            </w:rPr>
            <w:t>Revision Date</w:t>
          </w:r>
        </w:p>
      </w:tc>
      <w:tc>
        <w:tcPr>
          <w:tcW w:w="1080" w:type="dxa"/>
          <w:shd w:val="clear" w:color="auto" w:fill="D9D9D9" w:themeFill="background1" w:themeFillShade="D9"/>
        </w:tcPr>
        <w:p w14:paraId="59329A8C" w14:textId="2AD47384" w:rsidR="000E3FD5" w:rsidRDefault="00EE46D0" w:rsidP="000E3FD5">
          <w:pPr>
            <w:spacing w:line="240" w:lineRule="exact"/>
            <w:jc w:val="right"/>
            <w:rPr>
              <w:rFonts w:asciiTheme="minorHAnsi" w:hAnsiTheme="minorHAnsi"/>
              <w:b/>
              <w:sz w:val="22"/>
              <w:szCs w:val="22"/>
            </w:rPr>
          </w:pPr>
          <w:r>
            <w:rPr>
              <w:rFonts w:asciiTheme="minorHAnsi" w:hAnsiTheme="minorHAnsi"/>
              <w:b/>
              <w:sz w:val="22"/>
              <w:szCs w:val="22"/>
            </w:rPr>
            <w:t>9</w:t>
          </w:r>
          <w:r w:rsidR="00821526">
            <w:rPr>
              <w:rFonts w:asciiTheme="minorHAnsi" w:hAnsiTheme="minorHAnsi"/>
              <w:b/>
              <w:sz w:val="22"/>
              <w:szCs w:val="22"/>
            </w:rPr>
            <w:t>/</w:t>
          </w:r>
          <w:r>
            <w:rPr>
              <w:rFonts w:asciiTheme="minorHAnsi" w:hAnsiTheme="minorHAnsi"/>
              <w:b/>
              <w:sz w:val="22"/>
              <w:szCs w:val="22"/>
            </w:rPr>
            <w:t>4</w:t>
          </w:r>
          <w:r w:rsidR="00E649E1">
            <w:rPr>
              <w:rFonts w:asciiTheme="minorHAnsi" w:hAnsiTheme="minorHAnsi"/>
              <w:b/>
              <w:sz w:val="22"/>
              <w:szCs w:val="22"/>
            </w:rPr>
            <w:t>/201</w:t>
          </w:r>
          <w:r>
            <w:rPr>
              <w:rFonts w:asciiTheme="minorHAnsi" w:hAnsiTheme="minorHAnsi"/>
              <w:b/>
              <w:sz w:val="22"/>
              <w:szCs w:val="22"/>
            </w:rPr>
            <w:t>9</w:t>
          </w:r>
        </w:p>
      </w:tc>
    </w:tr>
    <w:tr w:rsidR="00B61277" w:rsidRPr="002D52B8" w14:paraId="609FB449" w14:textId="77777777" w:rsidTr="00594C5D">
      <w:tblPrEx>
        <w:shd w:val="clear" w:color="auto" w:fill="auto"/>
      </w:tblPrEx>
      <w:trPr>
        <w:gridAfter w:val="3"/>
        <w:wAfter w:w="7560" w:type="dxa"/>
      </w:trPr>
      <w:tc>
        <w:tcPr>
          <w:tcW w:w="1350" w:type="dxa"/>
          <w:shd w:val="clear" w:color="auto" w:fill="D9D9D9" w:themeFill="background1" w:themeFillShade="D9"/>
        </w:tcPr>
        <w:p w14:paraId="464B1337" w14:textId="77777777" w:rsidR="00B61277" w:rsidRPr="002D52B8" w:rsidRDefault="00B61277" w:rsidP="00594C5D">
          <w:pPr>
            <w:spacing w:line="240" w:lineRule="exact"/>
            <w:rPr>
              <w:rFonts w:asciiTheme="minorHAnsi" w:hAnsiTheme="minorHAnsi"/>
              <w:b/>
              <w:sz w:val="22"/>
              <w:szCs w:val="22"/>
            </w:rPr>
          </w:pPr>
          <w:r w:rsidRPr="002D52B8">
            <w:rPr>
              <w:rFonts w:asciiTheme="minorHAnsi" w:hAnsiTheme="minorHAnsi"/>
              <w:b/>
              <w:sz w:val="22"/>
              <w:szCs w:val="22"/>
            </w:rPr>
            <w:t>SAM Ref</w:t>
          </w:r>
        </w:p>
      </w:tc>
      <w:tc>
        <w:tcPr>
          <w:tcW w:w="900" w:type="dxa"/>
          <w:shd w:val="clear" w:color="auto" w:fill="D9D9D9" w:themeFill="background1" w:themeFillShade="D9"/>
        </w:tcPr>
        <w:p w14:paraId="492D0EDB" w14:textId="77777777" w:rsidR="00B61277" w:rsidRPr="002D52B8" w:rsidRDefault="00B61277" w:rsidP="00594C5D">
          <w:pPr>
            <w:spacing w:line="240" w:lineRule="exact"/>
            <w:jc w:val="center"/>
            <w:rPr>
              <w:rFonts w:asciiTheme="minorHAnsi" w:hAnsiTheme="minorHAnsi"/>
              <w:b/>
              <w:sz w:val="22"/>
              <w:szCs w:val="22"/>
            </w:rPr>
          </w:pPr>
          <w:r>
            <w:rPr>
              <w:rFonts w:asciiTheme="minorHAnsi" w:hAnsiTheme="minorHAnsi"/>
              <w:b/>
              <w:sz w:val="22"/>
              <w:szCs w:val="22"/>
            </w:rPr>
            <w:t>6-1</w:t>
          </w:r>
        </w:p>
      </w:tc>
    </w:tr>
  </w:tbl>
  <w:p w14:paraId="69D42E5B" w14:textId="77777777" w:rsidR="00B61277" w:rsidRDefault="00B61277" w:rsidP="000E3FD5">
    <w:pPr>
      <w:spacing w:line="240" w:lineRule="exact"/>
      <w:jc w:val="center"/>
      <w:rPr>
        <w:rFonts w:ascii="Century Schoolbook" w:hAnsi="Century School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01"/>
    <w:multiLevelType w:val="hybridMultilevel"/>
    <w:tmpl w:val="28885606"/>
    <w:lvl w:ilvl="0" w:tplc="57AAA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E2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DE55D1"/>
    <w:multiLevelType w:val="hybridMultilevel"/>
    <w:tmpl w:val="D5141BBC"/>
    <w:lvl w:ilvl="0" w:tplc="57AAA5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9415B0"/>
    <w:multiLevelType w:val="hybridMultilevel"/>
    <w:tmpl w:val="78745B8E"/>
    <w:lvl w:ilvl="0" w:tplc="57AAA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72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56B6C"/>
    <w:multiLevelType w:val="singleLevel"/>
    <w:tmpl w:val="D3DAFCC0"/>
    <w:lvl w:ilvl="0">
      <w:start w:val="1"/>
      <w:numFmt w:val="decimal"/>
      <w:lvlText w:val="%1."/>
      <w:legacy w:legacy="1" w:legacySpace="0" w:legacyIndent="360"/>
      <w:lvlJc w:val="left"/>
      <w:pPr>
        <w:ind w:left="720" w:hanging="360"/>
      </w:pPr>
    </w:lvl>
  </w:abstractNum>
  <w:abstractNum w:abstractNumId="6" w15:restartNumberingAfterBreak="0">
    <w:nsid w:val="437659CA"/>
    <w:multiLevelType w:val="hybridMultilevel"/>
    <w:tmpl w:val="CFE04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5807F5"/>
    <w:multiLevelType w:val="hybridMultilevel"/>
    <w:tmpl w:val="0AD4C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773F36"/>
    <w:multiLevelType w:val="hybridMultilevel"/>
    <w:tmpl w:val="945AB212"/>
    <w:lvl w:ilvl="0" w:tplc="57AAA5E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8B6C07"/>
    <w:multiLevelType w:val="hybridMultilevel"/>
    <w:tmpl w:val="3FFC0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6B0899"/>
    <w:multiLevelType w:val="hybridMultilevel"/>
    <w:tmpl w:val="0410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34D29"/>
    <w:multiLevelType w:val="hybridMultilevel"/>
    <w:tmpl w:val="0B6CAFEE"/>
    <w:lvl w:ilvl="0" w:tplc="57AAA5E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444DC5"/>
    <w:multiLevelType w:val="hybridMultilevel"/>
    <w:tmpl w:val="A9BAE3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3802D0"/>
    <w:multiLevelType w:val="hybridMultilevel"/>
    <w:tmpl w:val="0FA44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6C01D0"/>
    <w:multiLevelType w:val="singleLevel"/>
    <w:tmpl w:val="90D0E6BE"/>
    <w:lvl w:ilvl="0">
      <w:start w:val="2"/>
      <w:numFmt w:val="decimal"/>
      <w:lvlText w:val="%1."/>
      <w:legacy w:legacy="1" w:legacySpace="0" w:legacyIndent="360"/>
      <w:lvlJc w:val="left"/>
      <w:pPr>
        <w:ind w:left="720" w:hanging="360"/>
      </w:pPr>
    </w:lvl>
  </w:abstractNum>
  <w:abstractNum w:abstractNumId="15" w15:restartNumberingAfterBreak="0">
    <w:nsid w:val="7F9C5168"/>
    <w:multiLevelType w:val="hybridMultilevel"/>
    <w:tmpl w:val="991A0E4A"/>
    <w:lvl w:ilvl="0" w:tplc="57AAA5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4"/>
  </w:num>
  <w:num w:numId="3">
    <w:abstractNumId w:val="9"/>
  </w:num>
  <w:num w:numId="4">
    <w:abstractNumId w:val="6"/>
  </w:num>
  <w:num w:numId="5">
    <w:abstractNumId w:val="13"/>
  </w:num>
  <w:num w:numId="6">
    <w:abstractNumId w:val="11"/>
  </w:num>
  <w:num w:numId="7">
    <w:abstractNumId w:val="15"/>
  </w:num>
  <w:num w:numId="8">
    <w:abstractNumId w:val="0"/>
  </w:num>
  <w:num w:numId="9">
    <w:abstractNumId w:val="3"/>
  </w:num>
  <w:num w:numId="10">
    <w:abstractNumId w:val="2"/>
  </w:num>
  <w:num w:numId="11">
    <w:abstractNumId w:val="8"/>
  </w:num>
  <w:num w:numId="12">
    <w:abstractNumId w:val="12"/>
  </w:num>
  <w:num w:numId="13">
    <w:abstractNumId w:val="10"/>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55"/>
    <w:rsid w:val="00017827"/>
    <w:rsid w:val="00027D37"/>
    <w:rsid w:val="000422F8"/>
    <w:rsid w:val="00060354"/>
    <w:rsid w:val="00063112"/>
    <w:rsid w:val="00066E03"/>
    <w:rsid w:val="00073530"/>
    <w:rsid w:val="000B0799"/>
    <w:rsid w:val="000E3FD5"/>
    <w:rsid w:val="00121257"/>
    <w:rsid w:val="001226B4"/>
    <w:rsid w:val="00185AA5"/>
    <w:rsid w:val="001A5F45"/>
    <w:rsid w:val="001C4690"/>
    <w:rsid w:val="00220702"/>
    <w:rsid w:val="00224DBE"/>
    <w:rsid w:val="00226482"/>
    <w:rsid w:val="00226E2D"/>
    <w:rsid w:val="002916DB"/>
    <w:rsid w:val="00387569"/>
    <w:rsid w:val="003912EC"/>
    <w:rsid w:val="003B665D"/>
    <w:rsid w:val="003C23B6"/>
    <w:rsid w:val="00426812"/>
    <w:rsid w:val="00467CC5"/>
    <w:rsid w:val="00474879"/>
    <w:rsid w:val="0047617F"/>
    <w:rsid w:val="004A4255"/>
    <w:rsid w:val="004B67B5"/>
    <w:rsid w:val="00512475"/>
    <w:rsid w:val="00527493"/>
    <w:rsid w:val="00570D6A"/>
    <w:rsid w:val="005870C3"/>
    <w:rsid w:val="005A6AF2"/>
    <w:rsid w:val="005D51A3"/>
    <w:rsid w:val="00600667"/>
    <w:rsid w:val="0060657A"/>
    <w:rsid w:val="006229B2"/>
    <w:rsid w:val="0063622B"/>
    <w:rsid w:val="00653E07"/>
    <w:rsid w:val="00674E5B"/>
    <w:rsid w:val="00693D6B"/>
    <w:rsid w:val="006A5CDB"/>
    <w:rsid w:val="006C05DE"/>
    <w:rsid w:val="006C6044"/>
    <w:rsid w:val="0070410E"/>
    <w:rsid w:val="00704CAC"/>
    <w:rsid w:val="00720D95"/>
    <w:rsid w:val="007314D9"/>
    <w:rsid w:val="00734FE1"/>
    <w:rsid w:val="00777A77"/>
    <w:rsid w:val="00780092"/>
    <w:rsid w:val="00784D7C"/>
    <w:rsid w:val="0078641C"/>
    <w:rsid w:val="007A44DA"/>
    <w:rsid w:val="007A4CF1"/>
    <w:rsid w:val="007A6940"/>
    <w:rsid w:val="007A6EFF"/>
    <w:rsid w:val="007F5A80"/>
    <w:rsid w:val="007F6331"/>
    <w:rsid w:val="00821526"/>
    <w:rsid w:val="00842282"/>
    <w:rsid w:val="008436F3"/>
    <w:rsid w:val="008451D3"/>
    <w:rsid w:val="00854649"/>
    <w:rsid w:val="00857484"/>
    <w:rsid w:val="00862887"/>
    <w:rsid w:val="00882F66"/>
    <w:rsid w:val="0089100E"/>
    <w:rsid w:val="008D6D8F"/>
    <w:rsid w:val="008F15AC"/>
    <w:rsid w:val="008F335D"/>
    <w:rsid w:val="00904A0D"/>
    <w:rsid w:val="0093263A"/>
    <w:rsid w:val="00933ADC"/>
    <w:rsid w:val="00951DC5"/>
    <w:rsid w:val="00963BC6"/>
    <w:rsid w:val="0097053B"/>
    <w:rsid w:val="00981350"/>
    <w:rsid w:val="00986C30"/>
    <w:rsid w:val="009B476C"/>
    <w:rsid w:val="009E0774"/>
    <w:rsid w:val="00A10FB9"/>
    <w:rsid w:val="00A33AB9"/>
    <w:rsid w:val="00A40271"/>
    <w:rsid w:val="00A61058"/>
    <w:rsid w:val="00A671A4"/>
    <w:rsid w:val="00A7118D"/>
    <w:rsid w:val="00AE4874"/>
    <w:rsid w:val="00AF2D98"/>
    <w:rsid w:val="00B060E3"/>
    <w:rsid w:val="00B2752D"/>
    <w:rsid w:val="00B33C70"/>
    <w:rsid w:val="00B340E9"/>
    <w:rsid w:val="00B61277"/>
    <w:rsid w:val="00B65D7B"/>
    <w:rsid w:val="00B90415"/>
    <w:rsid w:val="00BF44D7"/>
    <w:rsid w:val="00C03FFB"/>
    <w:rsid w:val="00C06FFD"/>
    <w:rsid w:val="00C23B23"/>
    <w:rsid w:val="00C3413A"/>
    <w:rsid w:val="00C35E37"/>
    <w:rsid w:val="00C44D91"/>
    <w:rsid w:val="00C60EB7"/>
    <w:rsid w:val="00C85917"/>
    <w:rsid w:val="00CA4CFC"/>
    <w:rsid w:val="00CC552E"/>
    <w:rsid w:val="00D545AA"/>
    <w:rsid w:val="00D65AA6"/>
    <w:rsid w:val="00D706E6"/>
    <w:rsid w:val="00DB7293"/>
    <w:rsid w:val="00DE472D"/>
    <w:rsid w:val="00E36D9E"/>
    <w:rsid w:val="00E53B8E"/>
    <w:rsid w:val="00E622A5"/>
    <w:rsid w:val="00E649E1"/>
    <w:rsid w:val="00E94BB9"/>
    <w:rsid w:val="00EC5317"/>
    <w:rsid w:val="00EC6425"/>
    <w:rsid w:val="00EE46D0"/>
    <w:rsid w:val="00F86CD7"/>
    <w:rsid w:val="00FB02FD"/>
    <w:rsid w:val="00FC3D15"/>
    <w:rsid w:val="00FE31C2"/>
    <w:rsid w:val="00FE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ABB8A5A"/>
  <w15:docId w15:val="{B03F4FA0-705F-429A-BF88-41ADB6E3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Schoolbook" w:hAnsi="Century Schoolbook"/>
      <w:b/>
      <w:i/>
    </w:rPr>
  </w:style>
  <w:style w:type="paragraph" w:styleId="Heading2">
    <w:name w:val="heading 2"/>
    <w:basedOn w:val="Normal"/>
    <w:next w:val="Normal"/>
    <w:qFormat/>
    <w:pPr>
      <w:keepNext/>
      <w:jc w:val="center"/>
      <w:outlineLvl w:val="1"/>
    </w:pPr>
    <w:rPr>
      <w:rFonts w:ascii="Century Schoolbook" w:hAnsi="Century Schoolbook"/>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Century Schoolbook" w:hAnsi="Century Schoolbook"/>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tLeast"/>
    </w:pPr>
    <w:rPr>
      <w:rFonts w:ascii="Century Schoolbook" w:hAnsi="Century Schoolbook"/>
      <w:b/>
    </w:rPr>
  </w:style>
  <w:style w:type="paragraph" w:styleId="BodyText">
    <w:name w:val="Body Text"/>
    <w:basedOn w:val="Normal"/>
    <w:pPr>
      <w:ind w:right="-180"/>
    </w:pPr>
    <w:rPr>
      <w:rFonts w:ascii="Century Schoolbook" w:hAnsi="Century Schoolbook"/>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sid w:val="007A6EFF"/>
    <w:rPr>
      <w:color w:val="0000FF"/>
      <w:u w:val="single"/>
    </w:rPr>
  </w:style>
  <w:style w:type="table" w:styleId="TableGrid">
    <w:name w:val="Table Grid"/>
    <w:basedOn w:val="TableNormal"/>
    <w:rsid w:val="000E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AB9"/>
    <w:pPr>
      <w:ind w:left="720"/>
      <w:contextualSpacing/>
    </w:pPr>
  </w:style>
  <w:style w:type="paragraph" w:styleId="BalloonText">
    <w:name w:val="Balloon Text"/>
    <w:basedOn w:val="Normal"/>
    <w:link w:val="BalloonTextChar"/>
    <w:rsid w:val="00B65D7B"/>
    <w:rPr>
      <w:rFonts w:ascii="Tahoma" w:hAnsi="Tahoma" w:cs="Tahoma"/>
      <w:sz w:val="16"/>
      <w:szCs w:val="16"/>
    </w:rPr>
  </w:style>
  <w:style w:type="character" w:customStyle="1" w:styleId="BalloonTextChar">
    <w:name w:val="Balloon Text Char"/>
    <w:basedOn w:val="DefaultParagraphFont"/>
    <w:link w:val="BalloonText"/>
    <w:rsid w:val="00B65D7B"/>
    <w:rPr>
      <w:rFonts w:ascii="Tahoma" w:hAnsi="Tahoma" w:cs="Tahoma"/>
      <w:sz w:val="16"/>
      <w:szCs w:val="16"/>
    </w:rPr>
  </w:style>
  <w:style w:type="character" w:customStyle="1" w:styleId="FooterChar">
    <w:name w:val="Footer Char"/>
    <w:basedOn w:val="DefaultParagraphFont"/>
    <w:link w:val="Footer"/>
    <w:uiPriority w:val="99"/>
    <w:rsid w:val="0047617F"/>
  </w:style>
  <w:style w:type="character" w:customStyle="1" w:styleId="HeaderChar">
    <w:name w:val="Header Char"/>
    <w:basedOn w:val="DefaultParagraphFont"/>
    <w:link w:val="Header"/>
    <w:uiPriority w:val="99"/>
    <w:rsid w:val="0047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arconnection.wi.gov/Documents/Job%20Aids/FIN304_Regular%20Deposits%20(Direct%20Journal%20Payment).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33E6D4FPPFNA-357414633-2932</_dlc_DocId>
    <_dlc_DocIdUrl xmlns="bb65cc95-6d4e-4879-a879-9838761499af">
      <Url>https://doa.wi.gov/_layouts/15/DocIdRedir.aspx?ID=33E6D4FPPFNA-357414633-2932</Url>
      <Description>33E6D4FPPFNA-357414633-2932</Description>
    </_dlc_DocIdUrl>
  </documentManagement>
</p:properties>
</file>

<file path=customXml/itemProps1.xml><?xml version="1.0" encoding="utf-8"?>
<ds:datastoreItem xmlns:ds="http://schemas.openxmlformats.org/officeDocument/2006/customXml" ds:itemID="{56B36125-E492-4407-BBB8-B90453AD9DC1}"/>
</file>

<file path=customXml/itemProps2.xml><?xml version="1.0" encoding="utf-8"?>
<ds:datastoreItem xmlns:ds="http://schemas.openxmlformats.org/officeDocument/2006/customXml" ds:itemID="{953030A9-55EA-444D-BB3A-48FB7D3E0FFB}"/>
</file>

<file path=customXml/itemProps3.xml><?xml version="1.0" encoding="utf-8"?>
<ds:datastoreItem xmlns:ds="http://schemas.openxmlformats.org/officeDocument/2006/customXml" ds:itemID="{E82852B9-24D1-41F8-8424-570573E17CB8}"/>
</file>

<file path=customXml/itemProps4.xml><?xml version="1.0" encoding="utf-8"?>
<ds:datastoreItem xmlns:ds="http://schemas.openxmlformats.org/officeDocument/2006/customXml" ds:itemID="{09DC698D-8AC3-4F20-BE80-200B75190029}"/>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ACCOUNTS RECEIVABLE RECORDING, BILLING AND COLLECTION, WRITE-OFF, AND REPORTING</vt:lpstr>
    </vt:vector>
  </TitlesOfParts>
  <Company>State of Wisconsin</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RECORDING, BILLING AND COLLECTION, WRITE-OFF, AND REPORTING</dc:title>
  <dc:creator>shores</dc:creator>
  <cp:lastModifiedBy>Royer, Susan - DOA</cp:lastModifiedBy>
  <cp:revision>2</cp:revision>
  <cp:lastPrinted>2019-09-04T14:01:00Z</cp:lastPrinted>
  <dcterms:created xsi:type="dcterms:W3CDTF">2019-09-04T15:35:00Z</dcterms:created>
  <dcterms:modified xsi:type="dcterms:W3CDTF">2019-09-04T15:35:00Z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419d73b8-0c93-4d75-bdc9-189682f16ccf</vt:lpwstr>
  </property>
</Properties>
</file>