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8CFAD" w14:textId="77777777" w:rsidR="00EA059F" w:rsidRDefault="00EA059F" w:rsidP="00EA059F">
      <w:pPr>
        <w:pStyle w:val="Heading1"/>
        <w:jc w:val="center"/>
      </w:pPr>
      <w:r>
        <w:t>Wisconsin Department of Administration Discrimination Grievance Procedure</w:t>
      </w:r>
    </w:p>
    <w:p w14:paraId="4C2403A7" w14:textId="77777777" w:rsidR="00EA059F" w:rsidRPr="00EA059F" w:rsidRDefault="00EA059F" w:rsidP="00EA059F">
      <w:pPr>
        <w:jc w:val="center"/>
        <w:rPr>
          <w:i/>
          <w:iCs/>
        </w:rPr>
      </w:pPr>
      <w:r w:rsidRPr="00EA059F">
        <w:rPr>
          <w:i/>
          <w:iCs/>
        </w:rPr>
        <w:t>June 2024</w:t>
      </w:r>
    </w:p>
    <w:p w14:paraId="1CACF569" w14:textId="77777777" w:rsidR="00EA059F" w:rsidRDefault="00EA059F" w:rsidP="00EA059F">
      <w:r>
        <w:t xml:space="preserve">The Wisconsin Department of Administration (DOA) adopts the following procedures to allow any person or group to submit a complaint alleging discrimination of any kind by the DOA that may constitute a violation of 40 CFR Part 7 or any state or federal statutes or regulations that the DOA enforces, and </w:t>
      </w:r>
      <w:proofErr w:type="gramStart"/>
      <w:r>
        <w:t>in order to</w:t>
      </w:r>
      <w:proofErr w:type="gramEnd"/>
      <w:r>
        <w:t xml:space="preserve"> assure the prompt and fair resolution of any such discrimination complaints.</w:t>
      </w:r>
    </w:p>
    <w:tbl>
      <w:tblPr>
        <w:tblStyle w:val="GridTable1Light"/>
        <w:tblW w:w="0" w:type="auto"/>
        <w:tblLook w:val="04A0" w:firstRow="1" w:lastRow="0" w:firstColumn="1" w:lastColumn="0" w:noHBand="0" w:noVBand="1"/>
      </w:tblPr>
      <w:tblGrid>
        <w:gridCol w:w="715"/>
        <w:gridCol w:w="1620"/>
        <w:gridCol w:w="7015"/>
      </w:tblGrid>
      <w:tr w:rsidR="00EA059F" w14:paraId="7FC5FE46" w14:textId="77777777" w:rsidTr="00EA0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64C7134" w14:textId="504AF9D3" w:rsidR="00EA059F" w:rsidRDefault="00EA059F">
            <w:r>
              <w:t>Step</w:t>
            </w:r>
          </w:p>
        </w:tc>
        <w:tc>
          <w:tcPr>
            <w:tcW w:w="1620" w:type="dxa"/>
          </w:tcPr>
          <w:p w14:paraId="6D9FC31C" w14:textId="66858D10" w:rsidR="00EA059F" w:rsidRDefault="00EA059F">
            <w:pPr>
              <w:cnfStyle w:val="100000000000" w:firstRow="1" w:lastRow="0" w:firstColumn="0" w:lastColumn="0" w:oddVBand="0" w:evenVBand="0" w:oddHBand="0" w:evenHBand="0" w:firstRowFirstColumn="0" w:firstRowLastColumn="0" w:lastRowFirstColumn="0" w:lastRowLastColumn="0"/>
            </w:pPr>
            <w:r>
              <w:t>Who</w:t>
            </w:r>
          </w:p>
        </w:tc>
        <w:tc>
          <w:tcPr>
            <w:tcW w:w="7015" w:type="dxa"/>
          </w:tcPr>
          <w:p w14:paraId="250D06AE" w14:textId="4AF3C46C" w:rsidR="00EA059F" w:rsidRDefault="00EA059F">
            <w:pPr>
              <w:cnfStyle w:val="100000000000" w:firstRow="1" w:lastRow="0" w:firstColumn="0" w:lastColumn="0" w:oddVBand="0" w:evenVBand="0" w:oddHBand="0" w:evenHBand="0" w:firstRowFirstColumn="0" w:firstRowLastColumn="0" w:lastRowFirstColumn="0" w:lastRowLastColumn="0"/>
            </w:pPr>
            <w:r>
              <w:t>Does What</w:t>
            </w:r>
          </w:p>
        </w:tc>
      </w:tr>
      <w:tr w:rsidR="00EA059F" w14:paraId="315C658D" w14:textId="77777777" w:rsidTr="00EA059F">
        <w:tc>
          <w:tcPr>
            <w:cnfStyle w:val="001000000000" w:firstRow="0" w:lastRow="0" w:firstColumn="1" w:lastColumn="0" w:oddVBand="0" w:evenVBand="0" w:oddHBand="0" w:evenHBand="0" w:firstRowFirstColumn="0" w:firstRowLastColumn="0" w:lastRowFirstColumn="0" w:lastRowLastColumn="0"/>
            <w:tcW w:w="715" w:type="dxa"/>
          </w:tcPr>
          <w:p w14:paraId="69B8C50E" w14:textId="04C337FB" w:rsidR="00EA059F" w:rsidRDefault="00EA059F">
            <w:r>
              <w:t>1</w:t>
            </w:r>
          </w:p>
        </w:tc>
        <w:tc>
          <w:tcPr>
            <w:tcW w:w="1620" w:type="dxa"/>
          </w:tcPr>
          <w:p w14:paraId="706C8D37" w14:textId="495F3799" w:rsidR="00EA059F" w:rsidRDefault="00EA059F">
            <w:pPr>
              <w:cnfStyle w:val="000000000000" w:firstRow="0" w:lastRow="0" w:firstColumn="0" w:lastColumn="0" w:oddVBand="0" w:evenVBand="0" w:oddHBand="0" w:evenHBand="0" w:firstRowFirstColumn="0" w:firstRowLastColumn="0" w:lastRowFirstColumn="0" w:lastRowLastColumn="0"/>
            </w:pPr>
            <w:r w:rsidRPr="00EA059F">
              <w:t>Complainant</w:t>
            </w:r>
          </w:p>
        </w:tc>
        <w:tc>
          <w:tcPr>
            <w:tcW w:w="7015" w:type="dxa"/>
          </w:tcPr>
          <w:p w14:paraId="5CA6488A" w14:textId="77777777"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rPr>
                <w:b/>
                <w:bCs/>
              </w:rPr>
            </w:pPr>
            <w:r w:rsidRPr="00EA059F">
              <w:rPr>
                <w:b/>
                <w:bCs/>
              </w:rPr>
              <w:t>Submittal of Complaint</w:t>
            </w:r>
          </w:p>
          <w:p w14:paraId="7239B058"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proofErr w:type="gramStart"/>
            <w:r>
              <w:t>In order to</w:t>
            </w:r>
            <w:proofErr w:type="gramEnd"/>
            <w:r>
              <w:t xml:space="preserve"> have a complaint submittal considered for investigation under this procedure, the complainant shall file the complaint in writing no later than 180 calendar days after the date(s) of the alleged act(s) of discrimination.</w:t>
            </w:r>
          </w:p>
          <w:p w14:paraId="2A2F147C"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The complaint shall be in writing and signed by the complainant or the complainant's representative and shall include the contact information for the complainant or their representative.</w:t>
            </w:r>
          </w:p>
          <w:p w14:paraId="6B319DE7"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The complaint shall specify with as much detail as possible:</w:t>
            </w:r>
          </w:p>
          <w:p w14:paraId="6983A459" w14:textId="6F56F178" w:rsidR="00EA059F" w:rsidRDefault="00EA059F" w:rsidP="00EA05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The actions or inactions by DOA that support an alleged violation.</w:t>
            </w:r>
          </w:p>
          <w:p w14:paraId="7A44C6DE" w14:textId="770D20CE" w:rsidR="00EA059F" w:rsidRDefault="00EA059F" w:rsidP="00EA05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The alleged discrimination that did or will result from such actions or inactions.</w:t>
            </w:r>
          </w:p>
          <w:p w14:paraId="3B8E1900" w14:textId="0493D094" w:rsidR="00EA059F" w:rsidRDefault="00EA059F" w:rsidP="00EA05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The identity of the person(s) harmed or potentially harmed by the alleged discrimination.</w:t>
            </w:r>
          </w:p>
          <w:p w14:paraId="5561F3A2" w14:textId="11793133" w:rsidR="00EA059F" w:rsidRDefault="00EA059F" w:rsidP="00EA05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The state </w:t>
            </w:r>
            <w:r w:rsidRPr="00B4359B">
              <w:rPr>
                <w:highlight w:val="yellow"/>
              </w:rPr>
              <w:t>o</w:t>
            </w:r>
            <w:r w:rsidR="00B4359B" w:rsidRPr="00B4359B">
              <w:rPr>
                <w:highlight w:val="yellow"/>
              </w:rPr>
              <w:t>r</w:t>
            </w:r>
            <w:r>
              <w:t xml:space="preserve"> federal statutes or regulation that DOA allegedly violated (if known).</w:t>
            </w:r>
          </w:p>
          <w:p w14:paraId="29CC7781"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The DOA may request additional information from the complainant if needed to assist with meeting the complaint requirements listed above. Appropriate assistance shall be provided to individuals with disabilities and individuals with limited English proficiency. Also, complaints in alternate formats shall be accepted from individuals with disabilities, for example, complaints filed on computer disks, on audio tape, or in Braille.</w:t>
            </w:r>
          </w:p>
          <w:p w14:paraId="241147B0"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All complaint submittals should be mailed (or emailed) to the DOA’s Nondiscrimination Compliance Coordinator (NCC) at the following address:</w:t>
            </w:r>
          </w:p>
          <w:p w14:paraId="45F7EAC7"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p>
          <w:p w14:paraId="52F6A4D7"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Division of Legal Services</w:t>
            </w:r>
          </w:p>
          <w:p w14:paraId="5B1EB00F"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Wisconsin Department of Administration 101 East Wilson Street</w:t>
            </w:r>
          </w:p>
          <w:p w14:paraId="43551521"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P.O. Box 7864</w:t>
            </w:r>
          </w:p>
          <w:p w14:paraId="3218591F"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Madison, WI 53707-7864</w:t>
            </w:r>
          </w:p>
          <w:p w14:paraId="0F725CBD" w14:textId="057D83B5" w:rsidR="00EA059F" w:rsidRDefault="00EA059F" w:rsidP="00EA059F">
            <w:pPr>
              <w:cnfStyle w:val="000000000000" w:firstRow="0" w:lastRow="0" w:firstColumn="0" w:lastColumn="0" w:oddVBand="0" w:evenVBand="0" w:oddHBand="0" w:evenHBand="0" w:firstRowFirstColumn="0" w:firstRowLastColumn="0" w:lastRowFirstColumn="0" w:lastRowLastColumn="0"/>
            </w:pPr>
            <w:r>
              <w:t xml:space="preserve">Email: DOANondiscriminationCC@wisconsin.gov </w:t>
            </w:r>
          </w:p>
        </w:tc>
      </w:tr>
      <w:tr w:rsidR="00EA059F" w14:paraId="630C3C47" w14:textId="77777777" w:rsidTr="00EA059F">
        <w:tc>
          <w:tcPr>
            <w:cnfStyle w:val="001000000000" w:firstRow="0" w:lastRow="0" w:firstColumn="1" w:lastColumn="0" w:oddVBand="0" w:evenVBand="0" w:oddHBand="0" w:evenHBand="0" w:firstRowFirstColumn="0" w:firstRowLastColumn="0" w:lastRowFirstColumn="0" w:lastRowLastColumn="0"/>
            <w:tcW w:w="715" w:type="dxa"/>
          </w:tcPr>
          <w:p w14:paraId="40B0901D" w14:textId="16E601FA" w:rsidR="00EA059F" w:rsidRDefault="000267C9">
            <w:r>
              <w:lastRenderedPageBreak/>
              <w:t>2</w:t>
            </w:r>
          </w:p>
        </w:tc>
        <w:tc>
          <w:tcPr>
            <w:tcW w:w="1620" w:type="dxa"/>
          </w:tcPr>
          <w:p w14:paraId="509583B9" w14:textId="136D7CA3" w:rsidR="00EA059F" w:rsidRDefault="00EA059F">
            <w:pPr>
              <w:cnfStyle w:val="000000000000" w:firstRow="0" w:lastRow="0" w:firstColumn="0" w:lastColumn="0" w:oddVBand="0" w:evenVBand="0" w:oddHBand="0" w:evenHBand="0" w:firstRowFirstColumn="0" w:firstRowLastColumn="0" w:lastRowFirstColumn="0" w:lastRowLastColumn="0"/>
            </w:pPr>
            <w:r>
              <w:t>NCC</w:t>
            </w:r>
          </w:p>
        </w:tc>
        <w:tc>
          <w:tcPr>
            <w:tcW w:w="7015" w:type="dxa"/>
          </w:tcPr>
          <w:p w14:paraId="1D23620C" w14:textId="77777777"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rPr>
                <w:b/>
                <w:bCs/>
              </w:rPr>
            </w:pPr>
            <w:r w:rsidRPr="00EA059F">
              <w:rPr>
                <w:b/>
                <w:bCs/>
              </w:rPr>
              <w:t>Determination if Complaint Warrants Further Investigation</w:t>
            </w:r>
          </w:p>
          <w:p w14:paraId="71752A3E"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The NCC, based on information in the complaint submittal and other information available, shall determine if:</w:t>
            </w:r>
          </w:p>
          <w:p w14:paraId="36E27C18" w14:textId="4E56B5DB" w:rsidR="00EA059F" w:rsidRDefault="00EA059F" w:rsidP="00EA059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DOA has jurisdiction to pursue the matter.</w:t>
            </w:r>
          </w:p>
          <w:p w14:paraId="29BF6A07" w14:textId="12909516" w:rsidR="00EA059F" w:rsidRDefault="00EA059F" w:rsidP="00EA059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complaint submittal contains sufficient merit to warrant further investigation.</w:t>
            </w:r>
          </w:p>
          <w:p w14:paraId="2F53690F"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A complaint shall warrant further investigation unless:</w:t>
            </w:r>
          </w:p>
          <w:p w14:paraId="2DF2281C" w14:textId="4769B9DF" w:rsidR="00EA059F" w:rsidRDefault="00EA059F" w:rsidP="00EA05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It lacks an identifiable path to resolution or does not provide enough clarity to warrant next steps.</w:t>
            </w:r>
          </w:p>
          <w:p w14:paraId="3DF994D6" w14:textId="50C5981F" w:rsidR="00EA059F" w:rsidRDefault="00EA059F" w:rsidP="00EA05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Within the time allotted for making the determination of jurisdiction and investigative merit, DOA reaches an agreed resolution with the complainant.</w:t>
            </w:r>
          </w:p>
          <w:p w14:paraId="2ACFA757" w14:textId="0945AB34" w:rsidR="00EA059F" w:rsidRDefault="00EA059F" w:rsidP="00EA05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Within the time allotted for making the determination of jurisdiction and investigative merit, the complainant withdraws the complaint.</w:t>
            </w:r>
          </w:p>
          <w:p w14:paraId="7B538706" w14:textId="5AE7CA38" w:rsidR="00EA059F" w:rsidRDefault="00EA059F" w:rsidP="00EA05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The complaint was not submitted within the time limits established in Step 1.</w:t>
            </w:r>
          </w:p>
          <w:p w14:paraId="07FE1793"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t>Within 30 calendar days of receipt of the complaint submittal, the NCC shall inform the complainant if the complaint has or has not been accepted for further investigation. If it is determined that further investigation is not warranted, the reason for such determination shall be recorded in the case file.</w:t>
            </w:r>
          </w:p>
          <w:p w14:paraId="12EB2C39" w14:textId="003DB8D1" w:rsidR="00EA059F" w:rsidRDefault="00EA059F" w:rsidP="00EA059F">
            <w:pPr>
              <w:cnfStyle w:val="000000000000" w:firstRow="0" w:lastRow="0" w:firstColumn="0" w:lastColumn="0" w:oddVBand="0" w:evenVBand="0" w:oddHBand="0" w:evenHBand="0" w:firstRowFirstColumn="0" w:firstRowLastColumn="0" w:lastRowFirstColumn="0" w:lastRowLastColumn="0"/>
            </w:pPr>
          </w:p>
        </w:tc>
      </w:tr>
      <w:tr w:rsidR="00EA059F" w14:paraId="6802FB86" w14:textId="77777777" w:rsidTr="00EA059F">
        <w:tc>
          <w:tcPr>
            <w:cnfStyle w:val="001000000000" w:firstRow="0" w:lastRow="0" w:firstColumn="1" w:lastColumn="0" w:oddVBand="0" w:evenVBand="0" w:oddHBand="0" w:evenHBand="0" w:firstRowFirstColumn="0" w:firstRowLastColumn="0" w:lastRowFirstColumn="0" w:lastRowLastColumn="0"/>
            <w:tcW w:w="715" w:type="dxa"/>
          </w:tcPr>
          <w:p w14:paraId="61F2A509" w14:textId="7859CF56" w:rsidR="00EA059F" w:rsidRDefault="000267C9">
            <w:r>
              <w:t>3</w:t>
            </w:r>
          </w:p>
        </w:tc>
        <w:tc>
          <w:tcPr>
            <w:tcW w:w="1620" w:type="dxa"/>
          </w:tcPr>
          <w:p w14:paraId="34B236D7" w14:textId="102F2BFA" w:rsidR="00EA059F" w:rsidRDefault="00EA059F">
            <w:pPr>
              <w:cnfStyle w:val="000000000000" w:firstRow="0" w:lastRow="0" w:firstColumn="0" w:lastColumn="0" w:oddVBand="0" w:evenVBand="0" w:oddHBand="0" w:evenHBand="0" w:firstRowFirstColumn="0" w:firstRowLastColumn="0" w:lastRowFirstColumn="0" w:lastRowLastColumn="0"/>
            </w:pPr>
            <w:r>
              <w:t>NCC</w:t>
            </w:r>
          </w:p>
        </w:tc>
        <w:tc>
          <w:tcPr>
            <w:tcW w:w="7015" w:type="dxa"/>
          </w:tcPr>
          <w:p w14:paraId="5FE6F7E7" w14:textId="77777777"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rPr>
                <w:b/>
                <w:bCs/>
              </w:rPr>
            </w:pPr>
            <w:r w:rsidRPr="00EA059F">
              <w:rPr>
                <w:b/>
                <w:bCs/>
              </w:rPr>
              <w:t>Further Investigation of Complaint</w:t>
            </w:r>
          </w:p>
          <w:p w14:paraId="5E83EE43" w14:textId="77777777" w:rsidR="00EA059F" w:rsidRDefault="00EA059F" w:rsidP="00EA059F">
            <w:pPr>
              <w:cnfStyle w:val="000000000000" w:firstRow="0" w:lastRow="0" w:firstColumn="0" w:lastColumn="0" w:oddVBand="0" w:evenVBand="0" w:oddHBand="0" w:evenHBand="0" w:firstRowFirstColumn="0" w:firstRowLastColumn="0" w:lastRowFirstColumn="0" w:lastRowLastColumn="0"/>
            </w:pPr>
            <w:r w:rsidRPr="00EA059F">
              <w:t xml:space="preserve">If the NCC determines the complaint submittal warrants further investigation, the NCC shall review the alleged facts to determine the course of the investigation. The investigation may include interviews </w:t>
            </w:r>
            <w:proofErr w:type="gramStart"/>
            <w:r w:rsidRPr="00EA059F">
              <w:t>of</w:t>
            </w:r>
            <w:proofErr w:type="gramEnd"/>
            <w:r w:rsidRPr="00EA059F">
              <w:t xml:space="preserve"> DOA employees, other relevant witnesses, or others named in the complaint. Relevant DOA employees shall make themselves available as necessary. The preponderance of the evidence standard will be applied during the analysis of the complaint.</w:t>
            </w:r>
          </w:p>
          <w:p w14:paraId="33EEB783" w14:textId="3AC15599"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pPr>
          </w:p>
        </w:tc>
      </w:tr>
      <w:tr w:rsidR="00EA059F" w14:paraId="5FFE0DF1" w14:textId="77777777" w:rsidTr="00EA059F">
        <w:tc>
          <w:tcPr>
            <w:cnfStyle w:val="001000000000" w:firstRow="0" w:lastRow="0" w:firstColumn="1" w:lastColumn="0" w:oddVBand="0" w:evenVBand="0" w:oddHBand="0" w:evenHBand="0" w:firstRowFirstColumn="0" w:firstRowLastColumn="0" w:lastRowFirstColumn="0" w:lastRowLastColumn="0"/>
            <w:tcW w:w="715" w:type="dxa"/>
          </w:tcPr>
          <w:p w14:paraId="3D3AABE7" w14:textId="08124AA7" w:rsidR="00EA059F" w:rsidRDefault="000267C9">
            <w:r>
              <w:t>4</w:t>
            </w:r>
          </w:p>
        </w:tc>
        <w:tc>
          <w:tcPr>
            <w:tcW w:w="1620" w:type="dxa"/>
          </w:tcPr>
          <w:p w14:paraId="0EE190C4" w14:textId="4BC068F1" w:rsidR="00EA059F" w:rsidRDefault="00EA059F">
            <w:pPr>
              <w:cnfStyle w:val="000000000000" w:firstRow="0" w:lastRow="0" w:firstColumn="0" w:lastColumn="0" w:oddVBand="0" w:evenVBand="0" w:oddHBand="0" w:evenHBand="0" w:firstRowFirstColumn="0" w:firstRowLastColumn="0" w:lastRowFirstColumn="0" w:lastRowLastColumn="0"/>
            </w:pPr>
            <w:r>
              <w:t>NCC</w:t>
            </w:r>
          </w:p>
        </w:tc>
        <w:tc>
          <w:tcPr>
            <w:tcW w:w="7015" w:type="dxa"/>
          </w:tcPr>
          <w:p w14:paraId="2D936AA9" w14:textId="77777777"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rPr>
                <w:b/>
                <w:bCs/>
              </w:rPr>
            </w:pPr>
            <w:r w:rsidRPr="00EA059F">
              <w:rPr>
                <w:b/>
                <w:bCs/>
              </w:rPr>
              <w:t>Report and Determination</w:t>
            </w:r>
          </w:p>
          <w:p w14:paraId="0B6FA6C5" w14:textId="77777777"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pPr>
            <w:r w:rsidRPr="00EA059F">
              <w:t>The NCC shall issue a report and determination on whether DOA violated 40 CFR Part 7. The NCC shall prepare a written report of the investigation that shall include a narrative of the incident, identification of individuals interviewed, and evidence reviewed, and shall contain findings and a determination. The report and determination shall be placed in the complaint file.</w:t>
            </w:r>
          </w:p>
          <w:p w14:paraId="7E7B6C7E" w14:textId="555D9115" w:rsidR="00EA059F" w:rsidRPr="00EA059F" w:rsidRDefault="00EA059F" w:rsidP="00EA059F">
            <w:pPr>
              <w:cnfStyle w:val="000000000000" w:firstRow="0" w:lastRow="0" w:firstColumn="0" w:lastColumn="0" w:oddVBand="0" w:evenVBand="0" w:oddHBand="0" w:evenHBand="0" w:firstRowFirstColumn="0" w:firstRowLastColumn="0" w:lastRowFirstColumn="0" w:lastRowLastColumn="0"/>
              <w:rPr>
                <w:b/>
                <w:bCs/>
              </w:rPr>
            </w:pPr>
            <w:r w:rsidRPr="00EA059F">
              <w:t>Within 180 calendar days of receiving the complaint that warranted investigation, the NCC shall notify the complainant in writing of the findings of the investigation and the recommendations for resolution.</w:t>
            </w:r>
          </w:p>
        </w:tc>
      </w:tr>
    </w:tbl>
    <w:p w14:paraId="7D9ABB79" w14:textId="77777777" w:rsidR="00A74CC4" w:rsidRDefault="00A74CC4"/>
    <w:sectPr w:rsidR="00A7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F264E"/>
    <w:multiLevelType w:val="hybridMultilevel"/>
    <w:tmpl w:val="93F0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52FE1"/>
    <w:multiLevelType w:val="hybridMultilevel"/>
    <w:tmpl w:val="243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86ED8"/>
    <w:multiLevelType w:val="hybridMultilevel"/>
    <w:tmpl w:val="315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574361">
    <w:abstractNumId w:val="2"/>
  </w:num>
  <w:num w:numId="2" w16cid:durableId="1857965004">
    <w:abstractNumId w:val="1"/>
  </w:num>
  <w:num w:numId="3" w16cid:durableId="109189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9F"/>
    <w:rsid w:val="000267C9"/>
    <w:rsid w:val="00070BD5"/>
    <w:rsid w:val="00430B0F"/>
    <w:rsid w:val="007F795A"/>
    <w:rsid w:val="00A74CC4"/>
    <w:rsid w:val="00B4359B"/>
    <w:rsid w:val="00C063E1"/>
    <w:rsid w:val="00EA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AFA6"/>
  <w15:chartTrackingRefBased/>
  <w15:docId w15:val="{5E1354FF-4E1D-4162-8FFE-82DF4939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5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05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05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05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05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05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05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05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05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5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05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05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05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05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05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05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05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059F"/>
    <w:rPr>
      <w:rFonts w:eastAsiaTheme="majorEastAsia" w:cstheme="majorBidi"/>
      <w:color w:val="272727" w:themeColor="text1" w:themeTint="D8"/>
    </w:rPr>
  </w:style>
  <w:style w:type="paragraph" w:styleId="Title">
    <w:name w:val="Title"/>
    <w:basedOn w:val="Normal"/>
    <w:next w:val="Normal"/>
    <w:link w:val="TitleChar"/>
    <w:uiPriority w:val="10"/>
    <w:qFormat/>
    <w:rsid w:val="00EA05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5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5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05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059F"/>
    <w:pPr>
      <w:spacing w:before="160"/>
      <w:jc w:val="center"/>
    </w:pPr>
    <w:rPr>
      <w:i/>
      <w:iCs/>
      <w:color w:val="404040" w:themeColor="text1" w:themeTint="BF"/>
    </w:rPr>
  </w:style>
  <w:style w:type="character" w:customStyle="1" w:styleId="QuoteChar">
    <w:name w:val="Quote Char"/>
    <w:basedOn w:val="DefaultParagraphFont"/>
    <w:link w:val="Quote"/>
    <w:uiPriority w:val="29"/>
    <w:rsid w:val="00EA059F"/>
    <w:rPr>
      <w:i/>
      <w:iCs/>
      <w:color w:val="404040" w:themeColor="text1" w:themeTint="BF"/>
    </w:rPr>
  </w:style>
  <w:style w:type="paragraph" w:styleId="ListParagraph">
    <w:name w:val="List Paragraph"/>
    <w:basedOn w:val="Normal"/>
    <w:uiPriority w:val="34"/>
    <w:qFormat/>
    <w:rsid w:val="00EA059F"/>
    <w:pPr>
      <w:ind w:left="720"/>
      <w:contextualSpacing/>
    </w:pPr>
  </w:style>
  <w:style w:type="character" w:styleId="IntenseEmphasis">
    <w:name w:val="Intense Emphasis"/>
    <w:basedOn w:val="DefaultParagraphFont"/>
    <w:uiPriority w:val="21"/>
    <w:qFormat/>
    <w:rsid w:val="00EA059F"/>
    <w:rPr>
      <w:i/>
      <w:iCs/>
      <w:color w:val="0F4761" w:themeColor="accent1" w:themeShade="BF"/>
    </w:rPr>
  </w:style>
  <w:style w:type="paragraph" w:styleId="IntenseQuote">
    <w:name w:val="Intense Quote"/>
    <w:basedOn w:val="Normal"/>
    <w:next w:val="Normal"/>
    <w:link w:val="IntenseQuoteChar"/>
    <w:uiPriority w:val="30"/>
    <w:qFormat/>
    <w:rsid w:val="00EA05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059F"/>
    <w:rPr>
      <w:i/>
      <w:iCs/>
      <w:color w:val="0F4761" w:themeColor="accent1" w:themeShade="BF"/>
    </w:rPr>
  </w:style>
  <w:style w:type="character" w:styleId="IntenseReference">
    <w:name w:val="Intense Reference"/>
    <w:basedOn w:val="DefaultParagraphFont"/>
    <w:uiPriority w:val="32"/>
    <w:qFormat/>
    <w:rsid w:val="00EA059F"/>
    <w:rPr>
      <w:b/>
      <w:bCs/>
      <w:smallCaps/>
      <w:color w:val="0F4761" w:themeColor="accent1" w:themeShade="BF"/>
      <w:spacing w:val="5"/>
    </w:rPr>
  </w:style>
  <w:style w:type="table" w:styleId="TableGrid">
    <w:name w:val="Table Grid"/>
    <w:basedOn w:val="TableNormal"/>
    <w:uiPriority w:val="39"/>
    <w:rsid w:val="00EA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A05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A05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BCB3DB53BBB46A1D56A5F25E1DC45" ma:contentTypeVersion="3" ma:contentTypeDescription="Create a new document." ma:contentTypeScope="" ma:versionID="e05291ade2b1dadb002f55aa1d2788b3">
  <xsd:schema xmlns:xsd="http://www.w3.org/2001/XMLSchema" xmlns:xs="http://www.w3.org/2001/XMLSchema" xmlns:p="http://schemas.microsoft.com/office/2006/metadata/properties" xmlns:ns2="bb65cc95-6d4e-4879-a879-9838761499af" xmlns:ns3="4489dfca-e82c-424c-a022-088ce17d92f7" xmlns:ns4="9e30f06f-ad7a-453a-8e08-8a8878e30bd1" targetNamespace="http://schemas.microsoft.com/office/2006/metadata/properties" ma:root="true" ma:fieldsID="f927163951b2b8f03d5b2d5145dfe51f" ns2:_="" ns3:_="" ns4:_="">
    <xsd:import namespace="bb65cc95-6d4e-4879-a879-9838761499af"/>
    <xsd:import namespace="4489dfca-e82c-424c-a022-088ce17d92f7"/>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Content" minOccurs="0"/>
                <xsd:element ref="ns4:Document_x0020_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89dfca-e82c-424c-a022-088ce17d92f7" elementFormDefault="qualified">
    <xsd:import namespace="http://schemas.microsoft.com/office/2006/documentManagement/types"/>
    <xsd:import namespace="http://schemas.microsoft.com/office/infopath/2007/PartnerControls"/>
    <xsd:element name="Content" ma:index="11" nillable="true" ma:displayName="Content" ma:default="Undefined" ma:description="Type of Legal content" ma:format="RadioButtons" ma:internalName="Content">
      <xsd:simpleType>
        <xsd:restriction base="dms:Choice">
          <xsd:enumeration value="Relocation"/>
          <xsd:enumeration value="Public Records"/>
          <xsd:enumeration value="Claims Board"/>
          <xsd:enumeration value="Undefined"/>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33E6D4FPPFNA-2088391071-469</_dlc_DocId>
    <_dlc_DocIdUrl xmlns="bb65cc95-6d4e-4879-a879-9838761499af">
      <Url>https://doa.wi.gov/_layouts/15/DocIdRedir.aspx?ID=33E6D4FPPFNA-2088391071-469</Url>
      <Description>33E6D4FPPFNA-2088391071-469</Description>
    </_dlc_DocIdUrl>
    <Document_x0020_Year xmlns="9e30f06f-ad7a-453a-8e08-8a8878e30bd1" xsi:nil="true"/>
    <Content xmlns="4489dfca-e82c-424c-a022-088ce17d92f7">Undefined</Content>
  </documentManagement>
</p:properties>
</file>

<file path=customXml/itemProps1.xml><?xml version="1.0" encoding="utf-8"?>
<ds:datastoreItem xmlns:ds="http://schemas.openxmlformats.org/officeDocument/2006/customXml" ds:itemID="{CB9DAB71-C131-41A9-BD5E-C30D11ACB9DB}"/>
</file>

<file path=customXml/itemProps2.xml><?xml version="1.0" encoding="utf-8"?>
<ds:datastoreItem xmlns:ds="http://schemas.openxmlformats.org/officeDocument/2006/customXml" ds:itemID="{C621E026-09F3-46AE-9F8C-5E86FCDDD0CB}"/>
</file>

<file path=customXml/itemProps3.xml><?xml version="1.0" encoding="utf-8"?>
<ds:datastoreItem xmlns:ds="http://schemas.openxmlformats.org/officeDocument/2006/customXml" ds:itemID="{D2E432D4-F144-46C5-A0C4-63699C47AED8}"/>
</file>

<file path=customXml/itemProps4.xml><?xml version="1.0" encoding="utf-8"?>
<ds:datastoreItem xmlns:ds="http://schemas.openxmlformats.org/officeDocument/2006/customXml" ds:itemID="{9612C339-6F1B-4549-AC72-F11499CA7F43}"/>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4</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Ledvina, Tia M - DOA</dc:creator>
  <cp:keywords/>
  <dc:description/>
  <cp:lastModifiedBy>Ledvina, Tia M - DOA</cp:lastModifiedBy>
  <cp:revision>2</cp:revision>
  <cp:lastPrinted>2024-06-25T16:21:00Z</cp:lastPrinted>
  <dcterms:created xsi:type="dcterms:W3CDTF">2024-06-25T19:52:00Z</dcterms:created>
  <dcterms:modified xsi:type="dcterms:W3CDTF">2024-06-25T19:52:00Z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0x0101003D0BCB3DB53BBB46A1D56A5F25E1DC45</vt:lpwstr>
  </property>
  <property fmtid="{D5CDD505-2E9C-101B-9397-08002B2CF9AE}" pid="3" name="_dlc_DocIdItemGuid">
    <vt:lpwstr>eea289b4-13dc-4cdf-94b8-69da7d5e512d</vt:lpwstr>
  </property>
</Properties>
</file>