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6E964" w14:textId="77777777" w:rsidR="00580B3F" w:rsidRPr="00160462" w:rsidRDefault="00E8039E" w:rsidP="00494429">
      <w:pPr>
        <w:pStyle w:val="Heading1"/>
        <w:jc w:val="center"/>
      </w:pPr>
      <w:r>
        <w:t>Electrical Safety</w:t>
      </w:r>
      <w:r w:rsidR="00056AD5">
        <w:t xml:space="preserve"> Guide</w:t>
      </w:r>
    </w:p>
    <w:p w14:paraId="7CF4764B" w14:textId="77777777" w:rsidR="00580B3F" w:rsidRPr="00EF0159" w:rsidRDefault="00580B3F">
      <w:pPr>
        <w:rPr>
          <w:b/>
          <w:i/>
          <w:sz w:val="18"/>
          <w:szCs w:val="18"/>
        </w:rPr>
      </w:pPr>
    </w:p>
    <w:p w14:paraId="496B1AB3" w14:textId="77777777" w:rsidR="00160462" w:rsidRDefault="00BE5B57" w:rsidP="007D5E54">
      <w:r w:rsidRPr="00BE5B57">
        <w:t>Electrical injuries represent a serious workplace health and safety issue. Data from the U.S. Bureau of Labor Statistics (BLS) indicate that there were nearly 6,000 fatal electrical injuries to workers in the U.S. between 1992 and 2013. BLS data also indicates that there were 24,100 non-fatal electrical injuries from 2003 through 2012</w:t>
      </w:r>
      <w:r>
        <w:t>.</w:t>
      </w:r>
    </w:p>
    <w:p w14:paraId="2CEC1DD2" w14:textId="77777777" w:rsidR="00E82919" w:rsidRDefault="00E82919" w:rsidP="00E82919">
      <w:pPr>
        <w:pStyle w:val="Default"/>
      </w:pPr>
    </w:p>
    <w:p w14:paraId="7940BE21" w14:textId="77777777" w:rsidR="00E82919" w:rsidRPr="00E82919" w:rsidRDefault="00E82919" w:rsidP="00E82919">
      <w:r>
        <w:t>The Fire Protection Research Foundation, an affiliate of the National Fire Protection Association (NFPA), conducted a</w:t>
      </w:r>
      <w:r w:rsidRPr="00E82919">
        <w:t xml:space="preserve"> </w:t>
      </w:r>
      <w:hyperlink r:id="rId13" w:history="1">
        <w:r w:rsidRPr="009D37FC">
          <w:rPr>
            <w:rStyle w:val="Hyperlink"/>
          </w:rPr>
          <w:t>revi</w:t>
        </w:r>
        <w:r w:rsidRPr="009D37FC">
          <w:rPr>
            <w:rStyle w:val="Hyperlink"/>
          </w:rPr>
          <w:t>e</w:t>
        </w:r>
        <w:r w:rsidRPr="009D37FC">
          <w:rPr>
            <w:rStyle w:val="Hyperlink"/>
          </w:rPr>
          <w:t>w</w:t>
        </w:r>
      </w:hyperlink>
      <w:r w:rsidRPr="00E82919">
        <w:t xml:space="preserve"> of select Occupational Safety and Health Administration (OSHA) investigations of electrical injury incidents and prior research indicate that work inappropriately performed on energized equipment is associated with a substantial share of electrical injuries. Some of the work on energized equipment is inadvertent and results from a failure to recognize all electrical sources. Thorough pre-job planning with qualified personnel is essential for identifying all electrical sources, including unanticipated hazards that are not included in drawings. </w:t>
      </w:r>
    </w:p>
    <w:p w14:paraId="43CAE4B6" w14:textId="77777777" w:rsidR="00E82919" w:rsidRDefault="00E82919" w:rsidP="007D5E54"/>
    <w:p w14:paraId="59B4E32C" w14:textId="77777777" w:rsidR="00E8039E" w:rsidRDefault="00E82919" w:rsidP="007E2441">
      <w:r>
        <w:t xml:space="preserve">The </w:t>
      </w:r>
      <w:r w:rsidR="007E2441">
        <w:t xml:space="preserve">Occupational Safety and Health Administration (OSHA) </w:t>
      </w:r>
      <w:r>
        <w:t>provide</w:t>
      </w:r>
      <w:r w:rsidR="007E2441">
        <w:t xml:space="preserve"> standards to develop safe workplaces.  </w:t>
      </w:r>
      <w:r w:rsidR="007E2441" w:rsidRPr="00D70FB2">
        <w:t xml:space="preserve">Relevant OSHA standards to consider </w:t>
      </w:r>
      <w:r w:rsidRPr="00D70FB2">
        <w:t>relating to electrical safety programs may include</w:t>
      </w:r>
      <w:r w:rsidR="00D70FB2" w:rsidRPr="00D70FB2">
        <w:t xml:space="preserve"> </w:t>
      </w:r>
      <w:hyperlink r:id="rId14" w:history="1">
        <w:r w:rsidR="00D70FB2" w:rsidRPr="00D70FB2">
          <w:rPr>
            <w:rStyle w:val="Hyperlink"/>
          </w:rPr>
          <w:t>1910</w:t>
        </w:r>
        <w:r w:rsidR="00D70FB2" w:rsidRPr="00D70FB2">
          <w:rPr>
            <w:rStyle w:val="Hyperlink"/>
          </w:rPr>
          <w:t>.</w:t>
        </w:r>
        <w:r w:rsidR="00D70FB2" w:rsidRPr="00D70FB2">
          <w:rPr>
            <w:rStyle w:val="Hyperlink"/>
          </w:rPr>
          <w:t>331</w:t>
        </w:r>
      </w:hyperlink>
      <w:r w:rsidR="00D70FB2" w:rsidRPr="00D70FB2">
        <w:t xml:space="preserve"> through </w:t>
      </w:r>
      <w:hyperlink r:id="rId15" w:history="1">
        <w:r w:rsidR="00D70FB2" w:rsidRPr="00D70FB2">
          <w:rPr>
            <w:rStyle w:val="Hyperlink"/>
          </w:rPr>
          <w:t>19</w:t>
        </w:r>
        <w:r w:rsidR="00D70FB2" w:rsidRPr="00D70FB2">
          <w:rPr>
            <w:rStyle w:val="Hyperlink"/>
          </w:rPr>
          <w:t>1</w:t>
        </w:r>
        <w:r w:rsidR="00D70FB2" w:rsidRPr="00D70FB2">
          <w:rPr>
            <w:rStyle w:val="Hyperlink"/>
          </w:rPr>
          <w:t>0.335</w:t>
        </w:r>
      </w:hyperlink>
      <w:r w:rsidR="00D70FB2" w:rsidRPr="00D70FB2">
        <w:t xml:space="preserve">, “Electrical Safety-Related Work Practices” and </w:t>
      </w:r>
      <w:hyperlink r:id="rId16" w:history="1">
        <w:r w:rsidR="00D70FB2" w:rsidRPr="00D70FB2">
          <w:rPr>
            <w:rStyle w:val="Hyperlink"/>
          </w:rPr>
          <w:t>191</w:t>
        </w:r>
        <w:r w:rsidR="00D70FB2" w:rsidRPr="00D70FB2">
          <w:rPr>
            <w:rStyle w:val="Hyperlink"/>
          </w:rPr>
          <w:t>0</w:t>
        </w:r>
        <w:r w:rsidR="00D70FB2" w:rsidRPr="00D70FB2">
          <w:rPr>
            <w:rStyle w:val="Hyperlink"/>
          </w:rPr>
          <w:t>.147</w:t>
        </w:r>
      </w:hyperlink>
      <w:r w:rsidR="00D70FB2" w:rsidRPr="00D70FB2">
        <w:t>, “The Control of Hazardous Energy (Lockout/Tagout)”</w:t>
      </w:r>
      <w:r w:rsidRPr="00D70FB2">
        <w:t>:</w:t>
      </w:r>
    </w:p>
    <w:p w14:paraId="0B7BECA6" w14:textId="77777777" w:rsidR="00D70FB2" w:rsidRPr="00D70FB2" w:rsidRDefault="00D70FB2" w:rsidP="007E2441">
      <w:pPr>
        <w:rPr>
          <w:sz w:val="20"/>
          <w:szCs w:val="20"/>
        </w:rPr>
      </w:pPr>
    </w:p>
    <w:p w14:paraId="2C3251BB" w14:textId="77777777" w:rsidR="00E82919" w:rsidRPr="00E82919" w:rsidRDefault="00E82919" w:rsidP="00E82919">
      <w:pPr>
        <w:numPr>
          <w:ilvl w:val="0"/>
          <w:numId w:val="9"/>
        </w:numPr>
        <w:rPr>
          <w:rFonts w:ascii="Calibri" w:hAnsi="Calibri" w:cs="Calibri"/>
        </w:rPr>
      </w:pPr>
      <w:hyperlink r:id="rId17" w:history="1">
        <w:r w:rsidRPr="00EE5212">
          <w:rPr>
            <w:rStyle w:val="Hyperlink"/>
          </w:rPr>
          <w:t>1910.132</w:t>
        </w:r>
        <w:r w:rsidRPr="00EE5212">
          <w:rPr>
            <w:rStyle w:val="Hyperlink"/>
          </w:rPr>
          <w:t>(</w:t>
        </w:r>
        <w:r w:rsidRPr="00EE5212">
          <w:rPr>
            <w:rStyle w:val="Hyperlink"/>
          </w:rPr>
          <w:t>d)(1)</w:t>
        </w:r>
      </w:hyperlink>
      <w:r>
        <w:rPr>
          <w:rFonts w:ascii="Calibri" w:hAnsi="Calibri" w:cs="Calibri"/>
        </w:rPr>
        <w:t xml:space="preserve">  </w:t>
      </w:r>
      <w:r w:rsidRPr="00E82919">
        <w:rPr>
          <w:color w:val="000000"/>
        </w:rPr>
        <w:t>The employer shall assess the workplace to determine if hazards are present, or are likely to be present, which necessitate the use of personal protective equipment (PPE).</w:t>
      </w:r>
    </w:p>
    <w:p w14:paraId="217639F8" w14:textId="77777777" w:rsidR="00E82919" w:rsidRPr="00E82919" w:rsidRDefault="00E82919" w:rsidP="00E82919">
      <w:pPr>
        <w:numPr>
          <w:ilvl w:val="0"/>
          <w:numId w:val="9"/>
        </w:numPr>
        <w:rPr>
          <w:rFonts w:ascii="Calibri" w:hAnsi="Calibri" w:cs="Calibri"/>
        </w:rPr>
      </w:pPr>
      <w:hyperlink r:id="rId18" w:history="1">
        <w:r w:rsidRPr="00E82919">
          <w:rPr>
            <w:rStyle w:val="Hyperlink"/>
          </w:rPr>
          <w:t>1910.333(c)</w:t>
        </w:r>
        <w:r w:rsidRPr="00E82919">
          <w:rPr>
            <w:rStyle w:val="Hyperlink"/>
          </w:rPr>
          <w:t>(</w:t>
        </w:r>
        <w:r w:rsidRPr="00E82919">
          <w:rPr>
            <w:rStyle w:val="Hyperlink"/>
          </w:rPr>
          <w:t>2)</w:t>
        </w:r>
      </w:hyperlink>
      <w:r>
        <w:rPr>
          <w:color w:val="000000"/>
        </w:rPr>
        <w:t xml:space="preserve">  </w:t>
      </w:r>
      <w:r w:rsidRPr="00E82919">
        <w:rPr>
          <w:color w:val="000000"/>
        </w:rPr>
        <w:t xml:space="preserve">"Work on energized equipment." Only qualified persons may work on electric circuit parts or equipment that have not been deenergized under the procedures of paragraph (b) of this section. Such </w:t>
      </w:r>
      <w:proofErr w:type="gramStart"/>
      <w:r w:rsidRPr="00E82919">
        <w:rPr>
          <w:color w:val="000000"/>
        </w:rPr>
        <w:t>persons</w:t>
      </w:r>
      <w:proofErr w:type="gramEnd"/>
      <w:r w:rsidRPr="00E82919">
        <w:rPr>
          <w:color w:val="000000"/>
        </w:rPr>
        <w:t xml:space="preserve"> shall be capable of working safely on energized circuits and shall be familiar with the proper use of special precautionary techniques, personal protective equipment, insulating and shielding materials, and insulated tools.</w:t>
      </w:r>
    </w:p>
    <w:p w14:paraId="4F9A9A10" w14:textId="77777777" w:rsidR="00E82919" w:rsidRPr="00EA7CF1" w:rsidRDefault="00E82919" w:rsidP="00E82919">
      <w:pPr>
        <w:numPr>
          <w:ilvl w:val="0"/>
          <w:numId w:val="9"/>
        </w:numPr>
        <w:rPr>
          <w:rFonts w:ascii="Calibri" w:hAnsi="Calibri" w:cs="Calibri"/>
        </w:rPr>
      </w:pPr>
      <w:hyperlink r:id="rId19" w:history="1">
        <w:r w:rsidRPr="00E82919">
          <w:rPr>
            <w:rStyle w:val="Hyperlink"/>
          </w:rPr>
          <w:t>1910.335(</w:t>
        </w:r>
        <w:r w:rsidRPr="00E82919">
          <w:rPr>
            <w:rStyle w:val="Hyperlink"/>
          </w:rPr>
          <w:t>a</w:t>
        </w:r>
        <w:r w:rsidRPr="00E82919">
          <w:rPr>
            <w:rStyle w:val="Hyperlink"/>
          </w:rPr>
          <w:t>)(1)(i)</w:t>
        </w:r>
      </w:hyperlink>
      <w:r>
        <w:rPr>
          <w:color w:val="000000"/>
        </w:rPr>
        <w:t xml:space="preserve">  </w:t>
      </w:r>
      <w:r w:rsidRPr="00EA7CF1">
        <w:rPr>
          <w:color w:val="000000"/>
        </w:rPr>
        <w:t>Employees working in areas where there are potential electrical hazards shall be provided with, and shall use, electrical protective equipment that is appropriate for the specific parts of the body to be protected and for the work to be performed.</w:t>
      </w:r>
    </w:p>
    <w:p w14:paraId="79152FC6" w14:textId="77777777" w:rsidR="00EA7CF1" w:rsidRDefault="00EA7CF1" w:rsidP="00EA7CF1">
      <w:pPr>
        <w:rPr>
          <w:color w:val="000000"/>
        </w:rPr>
      </w:pPr>
    </w:p>
    <w:p w14:paraId="3CD6C893" w14:textId="77777777" w:rsidR="00543CB0" w:rsidRDefault="00EA7CF1" w:rsidP="00EA7CF1">
      <w:pPr>
        <w:rPr>
          <w:color w:val="000000"/>
        </w:rPr>
      </w:pPr>
      <w:r>
        <w:rPr>
          <w:color w:val="000000"/>
        </w:rPr>
        <w:t xml:space="preserve">The national consensus standard on how to comply with electrical safe work practices is </w:t>
      </w:r>
      <w:hyperlink r:id="rId20" w:history="1">
        <w:r w:rsidRPr="00EA7CF1">
          <w:rPr>
            <w:rStyle w:val="Hyperlink"/>
          </w:rPr>
          <w:t>NFP</w:t>
        </w:r>
        <w:r w:rsidRPr="00EA7CF1">
          <w:rPr>
            <w:rStyle w:val="Hyperlink"/>
          </w:rPr>
          <w:t>A</w:t>
        </w:r>
        <w:r w:rsidRPr="00EA7CF1">
          <w:rPr>
            <w:rStyle w:val="Hyperlink"/>
          </w:rPr>
          <w:t xml:space="preserve"> 70E</w:t>
        </w:r>
      </w:hyperlink>
      <w:r>
        <w:rPr>
          <w:color w:val="000000"/>
        </w:rPr>
        <w:t xml:space="preserve">.  Access for free reading is available through the NFPA.  </w:t>
      </w:r>
      <w:r w:rsidRPr="00EA7CF1">
        <w:rPr>
          <w:color w:val="000000"/>
        </w:rPr>
        <w:t xml:space="preserve">NFPA 70E </w:t>
      </w:r>
      <w:r>
        <w:rPr>
          <w:color w:val="000000"/>
        </w:rPr>
        <w:t xml:space="preserve">has </w:t>
      </w:r>
      <w:r w:rsidRPr="00EA7CF1">
        <w:rPr>
          <w:color w:val="000000"/>
        </w:rPr>
        <w:t xml:space="preserve">requirements for safe work practices to protect personnel by reducing exposure to major electrical hazards. Originally developed at OSHA's request, NFPA 70E helps </w:t>
      </w:r>
      <w:r w:rsidR="00E8039E">
        <w:rPr>
          <w:color w:val="000000"/>
        </w:rPr>
        <w:t>employers</w:t>
      </w:r>
      <w:r w:rsidRPr="00EA7CF1">
        <w:rPr>
          <w:color w:val="000000"/>
        </w:rPr>
        <w:t xml:space="preserve"> and employees avoid workplace injuries and fatalities due to shock, electrocution, arc flash, and arc blast, and assists in complying with OSHA 1910 Subpart S and OSHA 1926 Subpart K</w:t>
      </w:r>
      <w:r>
        <w:rPr>
          <w:color w:val="000000"/>
        </w:rPr>
        <w:t xml:space="preserve">.  NFPA 70E addresses </w:t>
      </w:r>
      <w:r w:rsidRPr="00EA7CF1">
        <w:rPr>
          <w:color w:val="000000"/>
        </w:rPr>
        <w:t>safety-related work practices, safety-related maintenance requirements, and safety requirements for special equipment. The Standard includes guidance for making hazard identification and risk assessments, selecting appropriate PPE, establishing an electrically safe work condition, and employee training.</w:t>
      </w:r>
      <w:r w:rsidR="00543CB0">
        <w:rPr>
          <w:color w:val="000000"/>
        </w:rPr>
        <w:t xml:space="preserve">  </w:t>
      </w:r>
    </w:p>
    <w:p w14:paraId="16D97CCE" w14:textId="77777777" w:rsidR="00543CB0" w:rsidRDefault="00543CB0" w:rsidP="00EA7CF1">
      <w:pPr>
        <w:rPr>
          <w:color w:val="000000"/>
        </w:rPr>
      </w:pPr>
    </w:p>
    <w:p w14:paraId="3095B6AA" w14:textId="77777777" w:rsidR="00543CB0" w:rsidRPr="00CF58FA" w:rsidRDefault="00E134A8" w:rsidP="00EA7CF1">
      <w:pPr>
        <w:rPr>
          <w:color w:val="000000"/>
        </w:rPr>
      </w:pPr>
      <w:r w:rsidRPr="00CF58FA">
        <w:rPr>
          <w:color w:val="000000"/>
        </w:rPr>
        <w:t xml:space="preserve">Important </w:t>
      </w:r>
      <w:r w:rsidR="00543CB0" w:rsidRPr="00CF58FA">
        <w:rPr>
          <w:color w:val="000000"/>
        </w:rPr>
        <w:t xml:space="preserve">NFPA 70E components to consider integrating </w:t>
      </w:r>
      <w:proofErr w:type="gramStart"/>
      <w:r w:rsidR="00543CB0" w:rsidRPr="00CF58FA">
        <w:rPr>
          <w:color w:val="000000"/>
        </w:rPr>
        <w:t>in</w:t>
      </w:r>
      <w:proofErr w:type="gramEnd"/>
      <w:r w:rsidR="00543CB0" w:rsidRPr="00CF58FA">
        <w:rPr>
          <w:color w:val="000000"/>
        </w:rPr>
        <w:t xml:space="preserve"> electrical safety programs may include:</w:t>
      </w:r>
    </w:p>
    <w:p w14:paraId="7A8D6AB3" w14:textId="77777777" w:rsidR="00E134A8" w:rsidRPr="00CF58FA" w:rsidRDefault="00E134A8" w:rsidP="00EA7CF1">
      <w:pPr>
        <w:rPr>
          <w:color w:val="000000"/>
        </w:rPr>
      </w:pPr>
    </w:p>
    <w:p w14:paraId="1E435827" w14:textId="77777777" w:rsidR="00543CB0" w:rsidRPr="00CF58FA" w:rsidRDefault="00E134A8" w:rsidP="00E134A8">
      <w:pPr>
        <w:numPr>
          <w:ilvl w:val="0"/>
          <w:numId w:val="11"/>
        </w:numPr>
        <w:ind w:left="720" w:hanging="300"/>
      </w:pPr>
      <w:r w:rsidRPr="00CF58FA">
        <w:t xml:space="preserve">Article </w:t>
      </w:r>
      <w:proofErr w:type="gramStart"/>
      <w:r w:rsidRPr="00CF58FA">
        <w:t>130.2  All</w:t>
      </w:r>
      <w:proofErr w:type="gramEnd"/>
      <w:r w:rsidR="00543CB0" w:rsidRPr="00CF58FA">
        <w:t xml:space="preserve"> live work greater than 50 volts </w:t>
      </w:r>
      <w:r w:rsidRPr="00CF58FA">
        <w:t>must</w:t>
      </w:r>
      <w:r w:rsidR="00543CB0" w:rsidRPr="00CF58FA">
        <w:t xml:space="preserve"> be put in an electrically safe work condition before a</w:t>
      </w:r>
      <w:r w:rsidRPr="00CF58FA">
        <w:t xml:space="preserve"> “qualified”</w:t>
      </w:r>
      <w:r w:rsidR="00543CB0" w:rsidRPr="00CF58FA">
        <w:t xml:space="preserve"> employee works on or near them (this includes lockout/tagout and “Live Dead Live” verification).</w:t>
      </w:r>
    </w:p>
    <w:p w14:paraId="1899A537" w14:textId="77777777" w:rsidR="00EA7CF1" w:rsidRPr="00CF58FA" w:rsidRDefault="00543CB0" w:rsidP="00E134A8">
      <w:pPr>
        <w:numPr>
          <w:ilvl w:val="0"/>
          <w:numId w:val="11"/>
        </w:numPr>
        <w:ind w:left="720" w:hanging="300"/>
        <w:rPr>
          <w:color w:val="000000"/>
        </w:rPr>
      </w:pPr>
      <w:r w:rsidRPr="00CF58FA">
        <w:t>All live work greater than 50 volts, not placed in an electrically safe work condition (</w:t>
      </w:r>
      <w:proofErr w:type="spellStart"/>
      <w:r w:rsidRPr="00CF58FA">
        <w:t>ie</w:t>
      </w:r>
      <w:proofErr w:type="spellEnd"/>
      <w:r w:rsidRPr="00CF58FA">
        <w:t>., for the reason of increased or additional ha</w:t>
      </w:r>
      <w:r w:rsidR="00E134A8" w:rsidRPr="00CF58FA">
        <w:t>zards or infeasibility per Article 130.2(A)</w:t>
      </w:r>
      <w:r w:rsidRPr="00CF58FA">
        <w:t>), will be completed by written energized electrical work permit only.</w:t>
      </w:r>
    </w:p>
    <w:p w14:paraId="5963E8AD" w14:textId="77777777" w:rsidR="00E134A8" w:rsidRPr="00CF58FA" w:rsidRDefault="00E134A8" w:rsidP="00E134A8">
      <w:pPr>
        <w:ind w:left="780"/>
        <w:rPr>
          <w:color w:val="000000"/>
        </w:rPr>
      </w:pPr>
    </w:p>
    <w:p w14:paraId="68E20971" w14:textId="77777777" w:rsidR="00543CB0" w:rsidRPr="00CF58FA" w:rsidRDefault="00E134A8" w:rsidP="00E134A8">
      <w:pPr>
        <w:numPr>
          <w:ilvl w:val="0"/>
          <w:numId w:val="11"/>
        </w:numPr>
        <w:ind w:left="720" w:hanging="300"/>
      </w:pPr>
      <w:r w:rsidRPr="00CF58FA">
        <w:lastRenderedPageBreak/>
        <w:t>Article 130.2(B)(3</w:t>
      </w:r>
      <w:proofErr w:type="gramStart"/>
      <w:r w:rsidRPr="00CF58FA">
        <w:t xml:space="preserve">)  </w:t>
      </w:r>
      <w:r w:rsidR="00543CB0" w:rsidRPr="00CF58FA">
        <w:t>Work</w:t>
      </w:r>
      <w:proofErr w:type="gramEnd"/>
      <w:r w:rsidR="00543CB0" w:rsidRPr="00CF58FA">
        <w:t xml:space="preserve"> performed within the limited approach boundary of energized electrical conductors or circuit parts related to tasks such as testing, troubleshooting, voltage measuring, etc. is permitted to be performed without an energized electrical work permit, provided appropriate safe work practices and personal protective equipment are used.  If the purpose of crossing the limited approach boundary is only for visual inspection and the restricted approach boundary will not be crossed, then an energized electrical work permit is not required, provided appropriate safe work practices and personal protective equipment are used.</w:t>
      </w:r>
    </w:p>
    <w:p w14:paraId="429110AA" w14:textId="77777777" w:rsidR="00543CB0" w:rsidRPr="00CF58FA" w:rsidRDefault="00B36173" w:rsidP="00E134A8">
      <w:pPr>
        <w:numPr>
          <w:ilvl w:val="0"/>
          <w:numId w:val="11"/>
        </w:numPr>
        <w:ind w:left="720" w:hanging="300"/>
        <w:rPr>
          <w:color w:val="000000"/>
        </w:rPr>
      </w:pPr>
      <w:r w:rsidRPr="00CF58FA">
        <w:t>Article 130.4(C</w:t>
      </w:r>
      <w:proofErr w:type="gramStart"/>
      <w:r w:rsidRPr="00CF58FA">
        <w:t xml:space="preserve">)  </w:t>
      </w:r>
      <w:r w:rsidR="003C7F71" w:rsidRPr="00CF58FA">
        <w:t>Prohibits</w:t>
      </w:r>
      <w:proofErr w:type="gramEnd"/>
      <w:r w:rsidRPr="00CF58FA">
        <w:t xml:space="preserve"> </w:t>
      </w:r>
      <w:r w:rsidR="003C7F71" w:rsidRPr="00CF58FA">
        <w:t xml:space="preserve">an </w:t>
      </w:r>
      <w:r w:rsidRPr="00CF58FA">
        <w:t xml:space="preserve">“unqualified” person </w:t>
      </w:r>
      <w:r w:rsidR="003C7F71" w:rsidRPr="00CF58FA">
        <w:t xml:space="preserve">to </w:t>
      </w:r>
      <w:r w:rsidRPr="00CF58FA">
        <w:t xml:space="preserve">approach nearer than the limited approach boundary of energized conductors and circuit parts.  </w:t>
      </w:r>
      <w:r w:rsidR="00543CB0" w:rsidRPr="00CF58FA">
        <w:t>The flash protection boundary for “unqualified” employees is four feet (for systems 600 volts or less).</w:t>
      </w:r>
    </w:p>
    <w:p w14:paraId="523910B7" w14:textId="77777777" w:rsidR="0080326F" w:rsidRPr="00CF58FA" w:rsidRDefault="0080326F" w:rsidP="00E134A8">
      <w:pPr>
        <w:numPr>
          <w:ilvl w:val="0"/>
          <w:numId w:val="11"/>
        </w:numPr>
        <w:ind w:left="720" w:hanging="300"/>
        <w:rPr>
          <w:color w:val="000000"/>
        </w:rPr>
      </w:pPr>
      <w:r w:rsidRPr="00CF58FA">
        <w:t xml:space="preserve">Article </w:t>
      </w:r>
      <w:proofErr w:type="gramStart"/>
      <w:r w:rsidRPr="00CF58FA">
        <w:t>130.5  Requires</w:t>
      </w:r>
      <w:proofErr w:type="gramEnd"/>
      <w:r w:rsidRPr="00CF58FA">
        <w:t xml:space="preserve"> an arc flash risk assessment be performed to determine:   if hazards exist, safety related work practices, arc flash boundary and personal protective equipment to be used within the arc flash boundary.  Arc flash risk assessments must be reviewed to account for changes in the electrical distribution system and take into consideration the design of overcurrent protective devices, operating time and maintenance condition. </w:t>
      </w:r>
    </w:p>
    <w:p w14:paraId="724316D7" w14:textId="77777777" w:rsidR="000958B4" w:rsidRDefault="000958B4" w:rsidP="00EA7CF1">
      <w:pPr>
        <w:rPr>
          <w:color w:val="000000"/>
        </w:rPr>
      </w:pPr>
    </w:p>
    <w:p w14:paraId="12D0388F" w14:textId="77777777" w:rsidR="000958B4" w:rsidRDefault="00EC39D9" w:rsidP="00EA7CF1">
      <w:pPr>
        <w:rPr>
          <w:rFonts w:ascii="Arial" w:hAnsi="Arial" w:cs="Arial"/>
          <w:color w:val="000000"/>
          <w:sz w:val="18"/>
          <w:szCs w:val="18"/>
        </w:rPr>
      </w:pPr>
      <w:hyperlink r:id="rId21" w:history="1">
        <w:r w:rsidR="000958B4" w:rsidRPr="00EC39D9">
          <w:rPr>
            <w:rStyle w:val="Hyperlink"/>
          </w:rPr>
          <w:t>Faith Technologies</w:t>
        </w:r>
      </w:hyperlink>
      <w:r w:rsidR="000958B4">
        <w:rPr>
          <w:color w:val="000000"/>
        </w:rPr>
        <w:t xml:space="preserve">, an industry leader in Electrical Risk Management Programs, provides additional: </w:t>
      </w:r>
    </w:p>
    <w:p w14:paraId="59168291" w14:textId="77777777" w:rsidR="00EA7CF1" w:rsidRDefault="00EA7CF1" w:rsidP="00EA7CF1">
      <w:pPr>
        <w:rPr>
          <w:rFonts w:ascii="Arial" w:hAnsi="Arial" w:cs="Arial"/>
          <w:color w:val="000000"/>
          <w:sz w:val="18"/>
          <w:szCs w:val="18"/>
        </w:rPr>
      </w:pPr>
    </w:p>
    <w:p w14:paraId="4F9BCC7E" w14:textId="77777777" w:rsidR="00E8039E" w:rsidRPr="00411EF3" w:rsidRDefault="000958B4" w:rsidP="00E8039E">
      <w:pPr>
        <w:pBdr>
          <w:bottom w:val="single" w:sz="4" w:space="1" w:color="auto"/>
        </w:pBdr>
        <w:jc w:val="center"/>
        <w:rPr>
          <w:b/>
          <w:sz w:val="32"/>
          <w:szCs w:val="32"/>
        </w:rPr>
      </w:pPr>
      <w:r w:rsidRPr="00411EF3">
        <w:rPr>
          <w:b/>
          <w:sz w:val="32"/>
          <w:szCs w:val="32"/>
        </w:rPr>
        <w:t>“</w:t>
      </w:r>
      <w:r w:rsidR="00E8039E" w:rsidRPr="00411EF3">
        <w:rPr>
          <w:b/>
          <w:sz w:val="32"/>
          <w:szCs w:val="32"/>
        </w:rPr>
        <w:t xml:space="preserve">Keys to Consider </w:t>
      </w:r>
      <w:proofErr w:type="gramStart"/>
      <w:r w:rsidR="00E8039E" w:rsidRPr="00411EF3">
        <w:rPr>
          <w:b/>
          <w:sz w:val="32"/>
          <w:szCs w:val="32"/>
        </w:rPr>
        <w:t>For</w:t>
      </w:r>
      <w:proofErr w:type="gramEnd"/>
      <w:r w:rsidR="00E8039E" w:rsidRPr="00411EF3">
        <w:rPr>
          <w:b/>
          <w:sz w:val="32"/>
          <w:szCs w:val="32"/>
        </w:rPr>
        <w:t xml:space="preserve"> Electrical Safe Work Programs</w:t>
      </w:r>
      <w:r w:rsidRPr="00411EF3">
        <w:rPr>
          <w:b/>
          <w:sz w:val="32"/>
          <w:szCs w:val="32"/>
        </w:rPr>
        <w:t>”</w:t>
      </w:r>
    </w:p>
    <w:p w14:paraId="2700D31E" w14:textId="77777777" w:rsidR="00E8039E" w:rsidRDefault="00E8039E" w:rsidP="007D5E54"/>
    <w:p w14:paraId="65AFFB77" w14:textId="77777777" w:rsidR="007D5E54" w:rsidRPr="00946775" w:rsidRDefault="00580B3F" w:rsidP="007D5E54">
      <w:pPr>
        <w:numPr>
          <w:ilvl w:val="0"/>
          <w:numId w:val="8"/>
        </w:numPr>
      </w:pPr>
      <w:r w:rsidRPr="00946775">
        <w:t>There is more to NFPA 70E and electrical safety</w:t>
      </w:r>
      <w:r w:rsidR="007977FB" w:rsidRPr="00946775">
        <w:t xml:space="preserve"> </w:t>
      </w:r>
      <w:r w:rsidRPr="00946775">
        <w:t>than simply performing an “arc flash study”</w:t>
      </w:r>
      <w:r w:rsidR="002666E2" w:rsidRPr="00946775">
        <w:t xml:space="preserve">.  There really is no such thing as </w:t>
      </w:r>
      <w:r w:rsidR="002666E2" w:rsidRPr="00946775">
        <w:rPr>
          <w:b/>
          <w:i/>
        </w:rPr>
        <w:t>“minimal compliance”</w:t>
      </w:r>
      <w:r w:rsidR="002666E2" w:rsidRPr="00946775">
        <w:t xml:space="preserve"> and </w:t>
      </w:r>
      <w:r w:rsidR="00080A12" w:rsidRPr="00946775">
        <w:t>it is important to put effort in place with written scope and process methods</w:t>
      </w:r>
      <w:r w:rsidR="002666E2" w:rsidRPr="00946775">
        <w:t xml:space="preserve"> where it has the most value</w:t>
      </w:r>
      <w:r w:rsidR="003A59E8" w:rsidRPr="00946775">
        <w:t xml:space="preserve"> for </w:t>
      </w:r>
      <w:r w:rsidR="00CF58FA">
        <w:t xml:space="preserve">the affected </w:t>
      </w:r>
      <w:r w:rsidR="009728DC">
        <w:t xml:space="preserve">employees and </w:t>
      </w:r>
      <w:r w:rsidR="00CF58FA">
        <w:t xml:space="preserve">management of </w:t>
      </w:r>
      <w:r w:rsidR="00531D85" w:rsidRPr="00946775">
        <w:t xml:space="preserve">outside contractors </w:t>
      </w:r>
      <w:proofErr w:type="gramStart"/>
      <w:r w:rsidR="00531D85" w:rsidRPr="00946775">
        <w:t>alike</w:t>
      </w:r>
      <w:proofErr w:type="gramEnd"/>
      <w:r w:rsidR="00CF58FA">
        <w:t xml:space="preserve"> so employers have sound programs in place</w:t>
      </w:r>
      <w:r w:rsidR="002666E2" w:rsidRPr="00946775">
        <w:t>.</w:t>
      </w:r>
    </w:p>
    <w:p w14:paraId="2B4EEEB5" w14:textId="77777777" w:rsidR="00580B3F" w:rsidRPr="000958B4" w:rsidRDefault="0070072C" w:rsidP="00DD09FE">
      <w:pPr>
        <w:numPr>
          <w:ilvl w:val="0"/>
          <w:numId w:val="8"/>
        </w:numPr>
      </w:pPr>
      <w:r w:rsidRPr="000958B4">
        <w:t>To implement</w:t>
      </w:r>
      <w:r w:rsidR="00080A12" w:rsidRPr="000958B4">
        <w:t xml:space="preserve"> a complete </w:t>
      </w:r>
      <w:r w:rsidR="00580B3F" w:rsidRPr="000958B4">
        <w:t>“Electrical Safe Work Practice”</w:t>
      </w:r>
      <w:r w:rsidR="007977FB" w:rsidRPr="000958B4">
        <w:t xml:space="preserve"> </w:t>
      </w:r>
      <w:r w:rsidRPr="000958B4">
        <w:t>program and reduce</w:t>
      </w:r>
      <w:r w:rsidR="007977FB" w:rsidRPr="000958B4">
        <w:t xml:space="preserve"> risk as an employer </w:t>
      </w:r>
      <w:r w:rsidR="00580B3F" w:rsidRPr="000958B4">
        <w:t>there are several topics to consider when se</w:t>
      </w:r>
      <w:r w:rsidR="007977FB" w:rsidRPr="000958B4">
        <w:t xml:space="preserve">lecting </w:t>
      </w:r>
      <w:r w:rsidRPr="000958B4">
        <w:t>a</w:t>
      </w:r>
      <w:r w:rsidR="00F8753D" w:rsidRPr="000958B4">
        <w:t xml:space="preserve"> solid</w:t>
      </w:r>
      <w:r w:rsidRPr="000958B4">
        <w:t xml:space="preserve"> process to deal with NFPA 70E</w:t>
      </w:r>
      <w:r w:rsidR="00DD09FE" w:rsidRPr="000958B4">
        <w:t xml:space="preserve"> compliance vision</w:t>
      </w:r>
      <w:r w:rsidR="00F8753D" w:rsidRPr="000958B4">
        <w:t>s</w:t>
      </w:r>
      <w:r w:rsidR="00087EB0" w:rsidRPr="000958B4">
        <w:t>:</w:t>
      </w:r>
    </w:p>
    <w:p w14:paraId="0E284D81" w14:textId="77777777" w:rsidR="000958B4" w:rsidRDefault="000958B4" w:rsidP="000958B4">
      <w:pPr>
        <w:rPr>
          <w:rFonts w:ascii="Calibri" w:hAnsi="Calibri" w:cs="Calibri"/>
        </w:rPr>
      </w:pPr>
    </w:p>
    <w:p w14:paraId="3B3206BC" w14:textId="77777777" w:rsidR="00F8753D" w:rsidRPr="000958B4" w:rsidRDefault="00F8753D" w:rsidP="000958B4">
      <w:pPr>
        <w:rPr>
          <w:b/>
        </w:rPr>
      </w:pPr>
      <w:r w:rsidRPr="000958B4">
        <w:rPr>
          <w:b/>
        </w:rPr>
        <w:t>Key Points to Address:</w:t>
      </w:r>
    </w:p>
    <w:p w14:paraId="09392EF8" w14:textId="77777777" w:rsidR="00EF0159" w:rsidRPr="000958B4" w:rsidRDefault="00EF0159" w:rsidP="007977FB">
      <w:pPr>
        <w:numPr>
          <w:ilvl w:val="0"/>
          <w:numId w:val="6"/>
        </w:numPr>
      </w:pPr>
      <w:r w:rsidRPr="000958B4">
        <w:t xml:space="preserve">Do not assume any vendor or source has </w:t>
      </w:r>
      <w:proofErr w:type="gramStart"/>
      <w:r w:rsidRPr="000958B4">
        <w:t>your</w:t>
      </w:r>
      <w:proofErr w:type="gramEnd"/>
      <w:r w:rsidRPr="000958B4">
        <w:t xml:space="preserve"> same visions </w:t>
      </w:r>
      <w:r w:rsidR="00080A12" w:rsidRPr="000958B4">
        <w:t xml:space="preserve">on what you are asking for </w:t>
      </w:r>
      <w:r w:rsidRPr="000958B4">
        <w:t>and if you are not sure of what to ask, please think of the basics of electrical safety.   Those start with:</w:t>
      </w:r>
    </w:p>
    <w:p w14:paraId="71CB9D4F" w14:textId="77777777" w:rsidR="00EF0159" w:rsidRPr="000958B4" w:rsidRDefault="00EF0159" w:rsidP="00EF0159">
      <w:pPr>
        <w:numPr>
          <w:ilvl w:val="1"/>
          <w:numId w:val="6"/>
        </w:numPr>
      </w:pPr>
      <w:r w:rsidRPr="000958B4">
        <w:t xml:space="preserve">Not assuming any of your existing equipment labeling is accurate enough to </w:t>
      </w:r>
      <w:r w:rsidR="00E8039E" w:rsidRPr="000958B4">
        <w:t>rely on for true electrical lockout/tagout (LOTO)</w:t>
      </w:r>
      <w:r w:rsidRPr="000958B4">
        <w:t xml:space="preserve"> goals.</w:t>
      </w:r>
    </w:p>
    <w:p w14:paraId="2B5EC8E6" w14:textId="77777777" w:rsidR="00EF0159" w:rsidRPr="00D715B1" w:rsidRDefault="00EF0159" w:rsidP="00EF0159">
      <w:pPr>
        <w:numPr>
          <w:ilvl w:val="1"/>
          <w:numId w:val="6"/>
        </w:numPr>
      </w:pPr>
      <w:r w:rsidRPr="00D715B1">
        <w:t xml:space="preserve">Be very specific on what your expectations are with the </w:t>
      </w:r>
      <w:r w:rsidR="00531D85" w:rsidRPr="00D715B1">
        <w:t xml:space="preserve">safety </w:t>
      </w:r>
      <w:r w:rsidRPr="00D715B1">
        <w:t xml:space="preserve">audit </w:t>
      </w:r>
      <w:r w:rsidR="00531D85" w:rsidRPr="00D715B1">
        <w:t>process regarding NFPA 70E</w:t>
      </w:r>
      <w:r w:rsidRPr="00D715B1">
        <w:t>.  You must clearly define expectations that all circuits must be confirmed for accurate labeling and that the vendor shall take on that liability</w:t>
      </w:r>
      <w:r w:rsidR="00531D85" w:rsidRPr="00D715B1">
        <w:t xml:space="preserve"> to circuit trace and confirm those electrical feeds</w:t>
      </w:r>
      <w:r w:rsidRPr="00D715B1">
        <w:t xml:space="preserve">.  </w:t>
      </w:r>
    </w:p>
    <w:p w14:paraId="6E4DFA4A" w14:textId="77777777" w:rsidR="00EF0159" w:rsidRPr="00D715B1" w:rsidRDefault="00EF0159" w:rsidP="00EF0159">
      <w:pPr>
        <w:numPr>
          <w:ilvl w:val="1"/>
          <w:numId w:val="6"/>
        </w:numPr>
      </w:pPr>
      <w:r w:rsidRPr="00D715B1">
        <w:t xml:space="preserve">Currently over </w:t>
      </w:r>
      <w:r w:rsidRPr="00D715B1">
        <w:rPr>
          <w:b/>
        </w:rPr>
        <w:t>90%</w:t>
      </w:r>
      <w:r w:rsidRPr="00D715B1">
        <w:t xml:space="preserve"> of all </w:t>
      </w:r>
      <w:r w:rsidR="00080A12" w:rsidRPr="00D715B1">
        <w:t xml:space="preserve">general engineering </w:t>
      </w:r>
      <w:r w:rsidRPr="00D715B1">
        <w:t xml:space="preserve">studies are done </w:t>
      </w:r>
      <w:r w:rsidR="00D715B1" w:rsidRPr="00D715B1">
        <w:t xml:space="preserve">today </w:t>
      </w:r>
      <w:r w:rsidRPr="00D715B1">
        <w:t xml:space="preserve">with the owner holding </w:t>
      </w:r>
      <w:proofErr w:type="gramStart"/>
      <w:r w:rsidRPr="00D715B1">
        <w:t>all of</w:t>
      </w:r>
      <w:proofErr w:type="gramEnd"/>
      <w:r w:rsidRPr="00D715B1">
        <w:t xml:space="preserve"> the liability for LOTO </w:t>
      </w:r>
      <w:r w:rsidR="00531D85" w:rsidRPr="00D715B1">
        <w:t>because most often the field work and expectations of how to obtain data are not explained clearly</w:t>
      </w:r>
      <w:r w:rsidR="00D715B1" w:rsidRPr="00D715B1">
        <w:t>.  T</w:t>
      </w:r>
      <w:r w:rsidR="00531D85" w:rsidRPr="00D715B1">
        <w:t>herefore</w:t>
      </w:r>
      <w:r w:rsidR="009728DC">
        <w:t xml:space="preserve">, </w:t>
      </w:r>
      <w:r w:rsidR="00531D85" w:rsidRPr="00D715B1">
        <w:t xml:space="preserve">vendors can </w:t>
      </w:r>
      <w:r w:rsidRPr="00D715B1">
        <w:t xml:space="preserve">simply </w:t>
      </w:r>
      <w:r w:rsidR="00531D85" w:rsidRPr="00D715B1">
        <w:rPr>
          <w:b/>
        </w:rPr>
        <w:t>“collect</w:t>
      </w:r>
      <w:r w:rsidRPr="00D715B1">
        <w:rPr>
          <w:b/>
        </w:rPr>
        <w:t xml:space="preserve"> data”</w:t>
      </w:r>
      <w:r w:rsidRPr="00D715B1">
        <w:t xml:space="preserve"> on the electrical systems</w:t>
      </w:r>
      <w:r w:rsidR="00531D85" w:rsidRPr="00D715B1">
        <w:t xml:space="preserve"> </w:t>
      </w:r>
      <w:r w:rsidR="009728DC">
        <w:t>and not include labor to trace and</w:t>
      </w:r>
      <w:r w:rsidR="00531D85" w:rsidRPr="00D715B1">
        <w:t xml:space="preserve"> confirm accuracy of equipment labels present</w:t>
      </w:r>
      <w:r w:rsidRPr="00D715B1">
        <w:t>.</w:t>
      </w:r>
    </w:p>
    <w:p w14:paraId="4087E7D0" w14:textId="77777777" w:rsidR="00EF0159" w:rsidRPr="00D715B1" w:rsidRDefault="00531D85" w:rsidP="00EF0159">
      <w:pPr>
        <w:numPr>
          <w:ilvl w:val="1"/>
          <w:numId w:val="6"/>
        </w:numPr>
      </w:pPr>
      <w:r w:rsidRPr="00D715B1">
        <w:t>M</w:t>
      </w:r>
      <w:r w:rsidR="00EF0159" w:rsidRPr="00D715B1">
        <w:t xml:space="preserve">oney spent on </w:t>
      </w:r>
      <w:r w:rsidR="00080A12" w:rsidRPr="00D715B1">
        <w:t>this fundamental</w:t>
      </w:r>
      <w:r w:rsidRPr="00D715B1">
        <w:t xml:space="preserve"> field data</w:t>
      </w:r>
      <w:r w:rsidR="00080A12" w:rsidRPr="00D715B1">
        <w:t xml:space="preserve"> assumption </w:t>
      </w:r>
      <w:r w:rsidRPr="00D715B1">
        <w:t>for</w:t>
      </w:r>
      <w:r w:rsidR="00F8753D" w:rsidRPr="00D715B1">
        <w:t xml:space="preserve"> </w:t>
      </w:r>
      <w:r w:rsidR="00080A12" w:rsidRPr="00D715B1">
        <w:t xml:space="preserve">information needed to give </w:t>
      </w:r>
      <w:r w:rsidR="00F8753D" w:rsidRPr="00D715B1">
        <w:t>engineeri</w:t>
      </w:r>
      <w:r w:rsidR="00080A12" w:rsidRPr="00D715B1">
        <w:t xml:space="preserve">ng resources </w:t>
      </w:r>
      <w:r w:rsidRPr="00D715B1">
        <w:t xml:space="preserve">presents a significant gap in </w:t>
      </w:r>
      <w:r w:rsidR="00D715B1" w:rsidRPr="00D715B1">
        <w:t xml:space="preserve">risk and liability </w:t>
      </w:r>
      <w:r w:rsidR="00080A12" w:rsidRPr="00D715B1">
        <w:t>of the program choice</w:t>
      </w:r>
      <w:r w:rsidRPr="00D715B1">
        <w:t xml:space="preserve"> when we do not qualify how electrical information is obtained and confirmed</w:t>
      </w:r>
      <w:r w:rsidR="00080A12" w:rsidRPr="00D715B1">
        <w:t>.</w:t>
      </w:r>
    </w:p>
    <w:p w14:paraId="38D4E503" w14:textId="77777777" w:rsidR="00EF0159" w:rsidRPr="000958B4" w:rsidRDefault="00EF0159" w:rsidP="00EF0159">
      <w:pPr>
        <w:numPr>
          <w:ilvl w:val="1"/>
          <w:numId w:val="6"/>
        </w:numPr>
      </w:pPr>
      <w:r w:rsidRPr="000958B4">
        <w:t>Even the new IEEE 1584.1 Standard on Deliverable Requirements for Arc-Flash Hazard Calculations is not defined well enough to h</w:t>
      </w:r>
      <w:r w:rsidR="00531D85">
        <w:t xml:space="preserve">elp </w:t>
      </w:r>
      <w:r w:rsidR="00531D85" w:rsidRPr="00D715B1">
        <w:t>d</w:t>
      </w:r>
      <w:r w:rsidR="00080A12" w:rsidRPr="00D715B1">
        <w:t>rive</w:t>
      </w:r>
      <w:r w:rsidR="00080A12" w:rsidRPr="000958B4">
        <w:t xml:space="preserve"> the LOTO value for supporting the arc flash results</w:t>
      </w:r>
      <w:r w:rsidR="00D715B1">
        <w:t xml:space="preserve">.  </w:t>
      </w:r>
      <w:proofErr w:type="gramStart"/>
      <w:r w:rsidR="00D715B1">
        <w:t>S</w:t>
      </w:r>
      <w:r w:rsidR="00080A12" w:rsidRPr="000958B4">
        <w:t>o</w:t>
      </w:r>
      <w:proofErr w:type="gramEnd"/>
      <w:r w:rsidR="00080A12" w:rsidRPr="000958B4">
        <w:t xml:space="preserve"> the bottom line on item #1 is to not assume vendors will quote the true effort levels needed unless you as the host employer make your demands very clear</w:t>
      </w:r>
      <w:r w:rsidRPr="000958B4">
        <w:t>.</w:t>
      </w:r>
    </w:p>
    <w:p w14:paraId="5A6284BF" w14:textId="77777777" w:rsidR="00F8753D" w:rsidRPr="000958B4" w:rsidRDefault="00F8753D" w:rsidP="00F8753D">
      <w:pPr>
        <w:ind w:left="1440"/>
      </w:pPr>
    </w:p>
    <w:p w14:paraId="108B795E" w14:textId="77777777" w:rsidR="007977FB" w:rsidRPr="000958B4" w:rsidRDefault="008A0E5C" w:rsidP="007977FB">
      <w:pPr>
        <w:numPr>
          <w:ilvl w:val="0"/>
          <w:numId w:val="6"/>
        </w:numPr>
      </w:pPr>
      <w:r>
        <w:t>Does</w:t>
      </w:r>
      <w:r w:rsidR="007977FB" w:rsidRPr="000958B4">
        <w:t xml:space="preserve"> </w:t>
      </w:r>
      <w:r w:rsidR="007977FB" w:rsidRPr="00D715B1">
        <w:t xml:space="preserve">existing </w:t>
      </w:r>
      <w:r w:rsidRPr="00D715B1">
        <w:t>site</w:t>
      </w:r>
      <w:r>
        <w:t xml:space="preserve"> </w:t>
      </w:r>
      <w:r w:rsidR="007977FB" w:rsidRPr="000958B4">
        <w:t>equipment labeling show upstream disconnecting means and/or locations to support LOTO?</w:t>
      </w:r>
    </w:p>
    <w:p w14:paraId="51BBC6CA" w14:textId="77777777" w:rsidR="00F8753D" w:rsidRPr="000958B4" w:rsidRDefault="00F8753D" w:rsidP="00F8753D">
      <w:pPr>
        <w:ind w:left="720"/>
      </w:pPr>
    </w:p>
    <w:p w14:paraId="2BC623B4" w14:textId="77777777" w:rsidR="00EF0159" w:rsidRPr="000958B4" w:rsidRDefault="00D715B1" w:rsidP="007977FB">
      <w:pPr>
        <w:numPr>
          <w:ilvl w:val="0"/>
          <w:numId w:val="6"/>
        </w:numPr>
      </w:pPr>
      <w:r>
        <w:t xml:space="preserve">Do you have </w:t>
      </w:r>
      <w:r w:rsidR="00EF0159" w:rsidRPr="000958B4">
        <w:t>current</w:t>
      </w:r>
      <w:r w:rsidR="007977FB" w:rsidRPr="000958B4">
        <w:t xml:space="preserve"> detailed</w:t>
      </w:r>
      <w:r w:rsidR="00ED0235" w:rsidRPr="000958B4">
        <w:t xml:space="preserve"> electrical </w:t>
      </w:r>
      <w:r w:rsidR="00F8753D" w:rsidRPr="000958B4">
        <w:t xml:space="preserve">one-line </w:t>
      </w:r>
      <w:r w:rsidR="009728DC">
        <w:t>drawings</w:t>
      </w:r>
      <w:r w:rsidR="00ED0235" w:rsidRPr="000958B4">
        <w:t xml:space="preserve"> to use as supporting reference to your LOTO programs?</w:t>
      </w:r>
      <w:r w:rsidR="00EF0159" w:rsidRPr="000958B4">
        <w:t xml:space="preserve"> </w:t>
      </w:r>
    </w:p>
    <w:p w14:paraId="6B546E94" w14:textId="77777777" w:rsidR="00ED0235" w:rsidRPr="000958B4" w:rsidRDefault="00ED0235" w:rsidP="00EF0159">
      <w:pPr>
        <w:numPr>
          <w:ilvl w:val="1"/>
          <w:numId w:val="6"/>
        </w:numPr>
      </w:pPr>
      <w:r w:rsidRPr="000958B4">
        <w:t>W</w:t>
      </w:r>
      <w:r w:rsidR="007977FB" w:rsidRPr="000958B4">
        <w:t>hat should a</w:t>
      </w:r>
      <w:r w:rsidR="00F8753D" w:rsidRPr="000958B4">
        <w:t>n electrical</w:t>
      </w:r>
      <w:r w:rsidR="007977FB" w:rsidRPr="000958B4">
        <w:t xml:space="preserve"> “one-line diagram” </w:t>
      </w:r>
      <w:r w:rsidRPr="000958B4">
        <w:t>consist of</w:t>
      </w:r>
      <w:r w:rsidR="00F8753D" w:rsidRPr="000958B4">
        <w:t xml:space="preserve"> or look like</w:t>
      </w:r>
      <w:r w:rsidRPr="000958B4">
        <w:t>?</w:t>
      </w:r>
    </w:p>
    <w:p w14:paraId="21231AD4" w14:textId="77777777" w:rsidR="00EF0159" w:rsidRPr="000958B4" w:rsidRDefault="00080A12" w:rsidP="00EF0159">
      <w:pPr>
        <w:numPr>
          <w:ilvl w:val="1"/>
          <w:numId w:val="6"/>
        </w:numPr>
      </w:pPr>
      <w:proofErr w:type="gramStart"/>
      <w:r w:rsidRPr="000958B4">
        <w:t>Again</w:t>
      </w:r>
      <w:proofErr w:type="gramEnd"/>
      <w:r w:rsidRPr="000958B4">
        <w:t xml:space="preserve"> don’t assume an electrical </w:t>
      </w:r>
      <w:r w:rsidR="00EF0159" w:rsidRPr="000958B4">
        <w:t>“one-line</w:t>
      </w:r>
      <w:r w:rsidRPr="000958B4">
        <w:t xml:space="preserve"> diagram” is a common</w:t>
      </w:r>
      <w:r w:rsidR="00EF0159" w:rsidRPr="000958B4">
        <w:t xml:space="preserve"> topic</w:t>
      </w:r>
      <w:r w:rsidRPr="000958B4">
        <w:t xml:space="preserve"> or common deliverable</w:t>
      </w:r>
      <w:r w:rsidR="00EF0159" w:rsidRPr="000958B4">
        <w:t xml:space="preserve">.  There are no two one-line examples </w:t>
      </w:r>
      <w:r w:rsidR="007E5360" w:rsidRPr="000958B4">
        <w:t xml:space="preserve">that are the same </w:t>
      </w:r>
      <w:r w:rsidR="008A0E5C">
        <w:t xml:space="preserve">other than the </w:t>
      </w:r>
      <w:r w:rsidR="00EF0159" w:rsidRPr="000958B4">
        <w:t>basic engineering software impedance diagram versions that are very common with normal “studies”</w:t>
      </w:r>
      <w:r w:rsidR="008A0E5C">
        <w:t xml:space="preserve"> provided in today’s arc flash market</w:t>
      </w:r>
      <w:r w:rsidR="00EF0159" w:rsidRPr="000958B4">
        <w:t>.</w:t>
      </w:r>
    </w:p>
    <w:p w14:paraId="5AC9029E" w14:textId="77777777" w:rsidR="00080A12" w:rsidRPr="000958B4" w:rsidRDefault="00080A12" w:rsidP="00EF0159">
      <w:pPr>
        <w:numPr>
          <w:ilvl w:val="1"/>
          <w:numId w:val="6"/>
        </w:numPr>
      </w:pPr>
      <w:r w:rsidRPr="000958B4">
        <w:t xml:space="preserve">It is important to again drive home your expectations on the one-line diagram format, LOTO value and design so your staff can use these as the cornerstone of the ESWP program.  </w:t>
      </w:r>
    </w:p>
    <w:p w14:paraId="6C764BCD" w14:textId="77777777" w:rsidR="00080A12" w:rsidRPr="00853E31" w:rsidRDefault="00080A12" w:rsidP="00EF0159">
      <w:pPr>
        <w:numPr>
          <w:ilvl w:val="1"/>
          <w:numId w:val="6"/>
        </w:numPr>
      </w:pPr>
      <w:r w:rsidRPr="00853E31">
        <w:t>Most common arc flash programs offer only the general engineering study deliverables in CAD design</w:t>
      </w:r>
      <w:r w:rsidR="009728DC">
        <w:t>, w</w:t>
      </w:r>
      <w:r w:rsidRPr="00853E31">
        <w:t>hich in many cases OSHA wi</w:t>
      </w:r>
      <w:r w:rsidR="002B23A7" w:rsidRPr="00853E31">
        <w:t xml:space="preserve">ll not </w:t>
      </w:r>
      <w:proofErr w:type="gramStart"/>
      <w:r w:rsidR="002B23A7" w:rsidRPr="00853E31">
        <w:t>accept</w:t>
      </w:r>
      <w:proofErr w:type="gramEnd"/>
      <w:r w:rsidR="002B23A7" w:rsidRPr="00853E31">
        <w:t xml:space="preserve"> for LOTO purposes</w:t>
      </w:r>
      <w:r w:rsidR="00853E31" w:rsidRPr="00853E31">
        <w:t>.  W</w:t>
      </w:r>
      <w:r w:rsidR="009728DC">
        <w:t>hen asking for one-l</w:t>
      </w:r>
      <w:r w:rsidR="002B23A7" w:rsidRPr="00853E31">
        <w:t xml:space="preserve">ines, it is a good expectation to ask for breakdowns on CAD labor and an example of what a </w:t>
      </w:r>
      <w:proofErr w:type="gramStart"/>
      <w:r w:rsidR="002B23A7" w:rsidRPr="00853E31">
        <w:t>full sized</w:t>
      </w:r>
      <w:proofErr w:type="gramEnd"/>
      <w:r w:rsidR="002B23A7" w:rsidRPr="00853E31">
        <w:t xml:space="preserve"> drawing looks like</w:t>
      </w:r>
      <w:r w:rsidR="00853E31" w:rsidRPr="00853E31">
        <w:t>,</w:t>
      </w:r>
      <w:r w:rsidR="002B23A7" w:rsidRPr="00853E31">
        <w:t xml:space="preserve"> so you and your team can determine if the design an</w:t>
      </w:r>
      <w:r w:rsidR="009728DC">
        <w:t>d use will fit your daily needs.</w:t>
      </w:r>
    </w:p>
    <w:p w14:paraId="1146E09A" w14:textId="77777777" w:rsidR="00ED0235" w:rsidRPr="000958B4" w:rsidRDefault="00ED0235" w:rsidP="007977FB"/>
    <w:p w14:paraId="6723216D" w14:textId="77777777" w:rsidR="00ED0235" w:rsidRPr="00853E31" w:rsidRDefault="00ED0235" w:rsidP="007977FB">
      <w:pPr>
        <w:numPr>
          <w:ilvl w:val="0"/>
          <w:numId w:val="6"/>
        </w:numPr>
      </w:pPr>
      <w:r w:rsidRPr="00853E31">
        <w:t xml:space="preserve">Does your </w:t>
      </w:r>
      <w:r w:rsidR="00EF0159" w:rsidRPr="00853E31">
        <w:t>current LOTO program stop at</w:t>
      </w:r>
      <w:r w:rsidR="00531DE0" w:rsidRPr="00853E31">
        <w:t xml:space="preserve"> floor level </w:t>
      </w:r>
      <w:r w:rsidRPr="00853E31">
        <w:t>equipment</w:t>
      </w:r>
      <w:r w:rsidR="00531DE0" w:rsidRPr="00853E31">
        <w:t xml:space="preserve"> control panel being driven more on machine specific LOTO</w:t>
      </w:r>
      <w:r w:rsidRPr="00853E31">
        <w:t xml:space="preserve"> or does it carr</w:t>
      </w:r>
      <w:r w:rsidR="00F8753D" w:rsidRPr="00853E31">
        <w:t xml:space="preserve">y all the way back to the </w:t>
      </w:r>
      <w:proofErr w:type="gramStart"/>
      <w:r w:rsidR="00F8753D" w:rsidRPr="00853E31">
        <w:t>facilities</w:t>
      </w:r>
      <w:proofErr w:type="gramEnd"/>
      <w:r w:rsidRPr="00853E31">
        <w:t xml:space="preserve"> main electrical service entrance points?</w:t>
      </w:r>
    </w:p>
    <w:p w14:paraId="49C63641" w14:textId="77777777" w:rsidR="00EF0159" w:rsidRPr="00853E31" w:rsidRDefault="00531DE0" w:rsidP="00EF0159">
      <w:pPr>
        <w:numPr>
          <w:ilvl w:val="1"/>
          <w:numId w:val="6"/>
        </w:numPr>
      </w:pPr>
      <w:r w:rsidRPr="00853E31">
        <w:t>Many</w:t>
      </w:r>
      <w:r w:rsidR="00EF0159" w:rsidRPr="00853E31">
        <w:t xml:space="preserve"> LOTO programs are machine specific in </w:t>
      </w:r>
      <w:proofErr w:type="gramStart"/>
      <w:r w:rsidR="00EF0159" w:rsidRPr="00853E31">
        <w:t>nature</w:t>
      </w:r>
      <w:proofErr w:type="gramEnd"/>
      <w:r w:rsidR="00EF0159" w:rsidRPr="00853E31">
        <w:t xml:space="preserve"> and we can’t forget that this ESWP topic is aimed at your “qualified” electrical employee level</w:t>
      </w:r>
      <w:r w:rsidRPr="00853E31">
        <w:t xml:space="preserve"> to help them address the upstream electrical lock out points</w:t>
      </w:r>
      <w:r w:rsidR="00EF0159" w:rsidRPr="00853E31">
        <w:t>.</w:t>
      </w:r>
    </w:p>
    <w:p w14:paraId="541C256B" w14:textId="77777777" w:rsidR="00531DE0" w:rsidRPr="000958B4" w:rsidRDefault="00531DE0" w:rsidP="007977FB"/>
    <w:p w14:paraId="56D4507D" w14:textId="77777777" w:rsidR="00ED0235" w:rsidRPr="000958B4" w:rsidRDefault="00ED0235" w:rsidP="007977FB">
      <w:pPr>
        <w:numPr>
          <w:ilvl w:val="0"/>
          <w:numId w:val="6"/>
        </w:numPr>
      </w:pPr>
      <w:r w:rsidRPr="000958B4">
        <w:t xml:space="preserve">Are you aware of the </w:t>
      </w:r>
      <w:proofErr w:type="gramStart"/>
      <w:r w:rsidRPr="000958B4">
        <w:t>limitations</w:t>
      </w:r>
      <w:proofErr w:type="gramEnd"/>
      <w:r w:rsidRPr="000958B4">
        <w:t xml:space="preserve"> software programs used to </w:t>
      </w:r>
      <w:r w:rsidR="00F8753D" w:rsidRPr="000958B4">
        <w:t>calculate arc flash</w:t>
      </w:r>
      <w:r w:rsidRPr="000958B4">
        <w:t xml:space="preserve"> incident energy have?</w:t>
      </w:r>
    </w:p>
    <w:p w14:paraId="2A20A45A" w14:textId="77777777" w:rsidR="002666E2" w:rsidRPr="00853E31" w:rsidRDefault="002666E2" w:rsidP="002666E2">
      <w:pPr>
        <w:numPr>
          <w:ilvl w:val="1"/>
          <w:numId w:val="6"/>
        </w:numPr>
      </w:pPr>
      <w:r w:rsidRPr="00853E31">
        <w:t>It is important that all EHS Directors</w:t>
      </w:r>
      <w:r w:rsidR="00F8753D" w:rsidRPr="00853E31">
        <w:t xml:space="preserve"> or Facilities Managers know that most </w:t>
      </w:r>
      <w:r w:rsidRPr="00853E31">
        <w:t>engineering studies are done with just a</w:t>
      </w:r>
      <w:r w:rsidR="00F8753D" w:rsidRPr="00853E31">
        <w:t xml:space="preserve"> select</w:t>
      </w:r>
      <w:r w:rsidRPr="00853E31">
        <w:t xml:space="preserve"> few common engineering software programs</w:t>
      </w:r>
      <w:r w:rsidR="00531DE0" w:rsidRPr="00853E31">
        <w:t xml:space="preserve"> meaning much of the results are very similar in technical outcome</w:t>
      </w:r>
      <w:r w:rsidRPr="00853E31">
        <w:t>.</w:t>
      </w:r>
    </w:p>
    <w:p w14:paraId="414DDB79" w14:textId="77777777" w:rsidR="002666E2" w:rsidRPr="00853E31" w:rsidRDefault="00531DE0" w:rsidP="002666E2">
      <w:pPr>
        <w:numPr>
          <w:ilvl w:val="1"/>
          <w:numId w:val="6"/>
        </w:numPr>
      </w:pPr>
      <w:r w:rsidRPr="00853E31">
        <w:t>S</w:t>
      </w:r>
      <w:r w:rsidR="00F8753D" w:rsidRPr="00853E31">
        <w:t xml:space="preserve">oftware </w:t>
      </w:r>
      <w:r w:rsidRPr="00853E31">
        <w:t xml:space="preserve">programs </w:t>
      </w:r>
      <w:proofErr w:type="gramStart"/>
      <w:r w:rsidRPr="00853E31">
        <w:t>are capable of printing</w:t>
      </w:r>
      <w:proofErr w:type="gramEnd"/>
      <w:r w:rsidRPr="00853E31">
        <w:t xml:space="preserve"> out </w:t>
      </w:r>
      <w:r w:rsidR="00F8753D" w:rsidRPr="00853E31">
        <w:t>deliverables including generalized</w:t>
      </w:r>
      <w:r w:rsidR="002666E2" w:rsidRPr="00853E31">
        <w:t xml:space="preserve"> PPE label formats along with versions of electrical One-Lines</w:t>
      </w:r>
      <w:r w:rsidR="00853E31" w:rsidRPr="00853E31">
        <w:t>.  S</w:t>
      </w:r>
      <w:r w:rsidRPr="00853E31">
        <w:t xml:space="preserve">o </w:t>
      </w:r>
      <w:proofErr w:type="gramStart"/>
      <w:r w:rsidRPr="00853E31">
        <w:t>again</w:t>
      </w:r>
      <w:proofErr w:type="gramEnd"/>
      <w:r w:rsidRPr="00853E31">
        <w:t xml:space="preserve"> ask questions and request actual deliverable samples so you can evaluate the overall impact those items will have to support your employees.</w:t>
      </w:r>
      <w:r w:rsidR="002666E2" w:rsidRPr="00853E31">
        <w:t xml:space="preserve"> </w:t>
      </w:r>
    </w:p>
    <w:p w14:paraId="62E9956F" w14:textId="77777777" w:rsidR="002666E2" w:rsidRPr="000958B4" w:rsidRDefault="002666E2" w:rsidP="002666E2">
      <w:pPr>
        <w:numPr>
          <w:ilvl w:val="1"/>
          <w:numId w:val="6"/>
        </w:numPr>
      </w:pPr>
      <w:r w:rsidRPr="000958B4">
        <w:t xml:space="preserve">Be cautious of </w:t>
      </w:r>
      <w:r w:rsidR="00531DE0">
        <w:t>general “cookie cutter”</w:t>
      </w:r>
      <w:r w:rsidRPr="000958B4">
        <w:t xml:space="preserve"> deliverables and get more involved in what you’d like to see</w:t>
      </w:r>
      <w:r w:rsidR="00F8753D" w:rsidRPr="000958B4">
        <w:t xml:space="preserve"> for your staff</w:t>
      </w:r>
      <w:r w:rsidRPr="000958B4">
        <w:t>.</w:t>
      </w:r>
      <w:r w:rsidR="00F8753D" w:rsidRPr="000958B4">
        <w:t xml:space="preserve">  This is your program to manage and own when it </w:t>
      </w:r>
      <w:proofErr w:type="gramStart"/>
      <w:r w:rsidR="00F8753D" w:rsidRPr="000958B4">
        <w:t>completed</w:t>
      </w:r>
      <w:proofErr w:type="gramEnd"/>
      <w:r w:rsidR="00F8753D" w:rsidRPr="000958B4">
        <w:t xml:space="preserve"> and is in place.</w:t>
      </w:r>
    </w:p>
    <w:p w14:paraId="3616B36B" w14:textId="77777777" w:rsidR="00ED0235" w:rsidRPr="000958B4" w:rsidRDefault="00ED0235" w:rsidP="007977FB"/>
    <w:p w14:paraId="1FEDDF86" w14:textId="77777777" w:rsidR="00ED0235" w:rsidRPr="000958B4" w:rsidRDefault="00ED0235" w:rsidP="007977FB">
      <w:pPr>
        <w:numPr>
          <w:ilvl w:val="0"/>
          <w:numId w:val="6"/>
        </w:numPr>
      </w:pPr>
      <w:r w:rsidRPr="000958B4">
        <w:t>Do you know what to have listed on a complete PPE label posted on your equipment?</w:t>
      </w:r>
    </w:p>
    <w:p w14:paraId="03A4CE62" w14:textId="77777777" w:rsidR="002666E2" w:rsidRPr="000958B4" w:rsidRDefault="002666E2" w:rsidP="002666E2">
      <w:pPr>
        <w:numPr>
          <w:ilvl w:val="1"/>
          <w:numId w:val="6"/>
        </w:numPr>
      </w:pPr>
      <w:r w:rsidRPr="000958B4">
        <w:t xml:space="preserve">NFPA 70E </w:t>
      </w:r>
      <w:r w:rsidR="009728DC">
        <w:t xml:space="preserve">article </w:t>
      </w:r>
      <w:r w:rsidRPr="000958B4">
        <w:t>130.5 lists several options on PPE label formats</w:t>
      </w:r>
      <w:r w:rsidR="00F8753D" w:rsidRPr="000958B4">
        <w:t xml:space="preserve"> which </w:t>
      </w:r>
      <w:proofErr w:type="gramStart"/>
      <w:r w:rsidR="00F8753D" w:rsidRPr="000958B4">
        <w:t>creates</w:t>
      </w:r>
      <w:proofErr w:type="gramEnd"/>
      <w:r w:rsidR="00F8753D" w:rsidRPr="000958B4">
        <w:t xml:space="preserve"> confusion and somewhat general designs on a </w:t>
      </w:r>
      <w:proofErr w:type="gramStart"/>
      <w:r w:rsidR="00F8753D" w:rsidRPr="000958B4">
        <w:t>National</w:t>
      </w:r>
      <w:proofErr w:type="gramEnd"/>
      <w:r w:rsidR="00F8753D" w:rsidRPr="000958B4">
        <w:t xml:space="preserve"> level currently.</w:t>
      </w:r>
    </w:p>
    <w:p w14:paraId="648E29A4" w14:textId="77777777" w:rsidR="002666E2" w:rsidRPr="000958B4" w:rsidRDefault="002666E2" w:rsidP="002666E2">
      <w:pPr>
        <w:numPr>
          <w:ilvl w:val="1"/>
          <w:numId w:val="6"/>
        </w:numPr>
      </w:pPr>
      <w:r w:rsidRPr="000958B4">
        <w:t xml:space="preserve">It is again up to the </w:t>
      </w:r>
      <w:r w:rsidR="00E8039E" w:rsidRPr="000958B4">
        <w:t>leadership</w:t>
      </w:r>
      <w:r w:rsidRPr="000958B4">
        <w:t xml:space="preserve"> to decide what will support your </w:t>
      </w:r>
      <w:r w:rsidRPr="00853E31">
        <w:t>safety goals the best</w:t>
      </w:r>
      <w:r w:rsidR="00531DE0" w:rsidRPr="00853E31">
        <w:t xml:space="preserve"> and if the information provided is complete enough to help avoid incidents</w:t>
      </w:r>
      <w:r w:rsidRPr="00853E31">
        <w:t>.</w:t>
      </w:r>
    </w:p>
    <w:p w14:paraId="3CE06094" w14:textId="77777777" w:rsidR="00F8753D" w:rsidRPr="000958B4" w:rsidRDefault="00F8753D" w:rsidP="002666E2">
      <w:pPr>
        <w:numPr>
          <w:ilvl w:val="1"/>
          <w:numId w:val="6"/>
        </w:numPr>
      </w:pPr>
      <w:r w:rsidRPr="000958B4">
        <w:t>Keep in mind that this is the last line of defense and the first thing that general employees see before they embark upon a task electrically.</w:t>
      </w:r>
    </w:p>
    <w:p w14:paraId="06E5EC1B" w14:textId="77777777" w:rsidR="00ED0235" w:rsidRPr="000958B4" w:rsidRDefault="00ED0235" w:rsidP="007977FB"/>
    <w:p w14:paraId="3D9F6F39" w14:textId="77777777" w:rsidR="00ED0235" w:rsidRPr="000958B4" w:rsidRDefault="007977FB" w:rsidP="007977FB">
      <w:pPr>
        <w:numPr>
          <w:ilvl w:val="0"/>
          <w:numId w:val="6"/>
        </w:numPr>
      </w:pPr>
      <w:r w:rsidRPr="000958B4">
        <w:t>How do you account</w:t>
      </w:r>
      <w:r w:rsidR="00ED0235" w:rsidRPr="000958B4">
        <w:t xml:space="preserve"> for future </w:t>
      </w:r>
      <w:r w:rsidR="00F8753D" w:rsidRPr="000958B4">
        <w:t xml:space="preserve">electrical </w:t>
      </w:r>
      <w:r w:rsidR="00ED0235" w:rsidRPr="000958B4">
        <w:t>growth and revi</w:t>
      </w:r>
      <w:r w:rsidR="00531DE0">
        <w:t>sions to your site</w:t>
      </w:r>
      <w:r w:rsidR="00F8753D" w:rsidRPr="000958B4">
        <w:t xml:space="preserve"> </w:t>
      </w:r>
      <w:r w:rsidR="00ED0235" w:rsidRPr="000958B4">
        <w:t>documentation and NFPA 70E?</w:t>
      </w:r>
    </w:p>
    <w:p w14:paraId="287AA604" w14:textId="77777777" w:rsidR="002666E2" w:rsidRDefault="002666E2" w:rsidP="002666E2">
      <w:pPr>
        <w:numPr>
          <w:ilvl w:val="1"/>
          <w:numId w:val="6"/>
        </w:numPr>
      </w:pPr>
      <w:r w:rsidRPr="000958B4">
        <w:t xml:space="preserve">The effort you spend up </w:t>
      </w:r>
      <w:r w:rsidRPr="00853E31">
        <w:t xml:space="preserve">front on what you want </w:t>
      </w:r>
      <w:r w:rsidR="00531DE0" w:rsidRPr="00853E31">
        <w:t xml:space="preserve">and how the deliverables are created </w:t>
      </w:r>
      <w:r w:rsidRPr="00853E31">
        <w:t xml:space="preserve">will </w:t>
      </w:r>
      <w:proofErr w:type="gramStart"/>
      <w:r w:rsidRPr="00853E31">
        <w:t>help out</w:t>
      </w:r>
      <w:proofErr w:type="gramEnd"/>
      <w:r w:rsidRPr="00853E31">
        <w:t xml:space="preserve"> when it comes to working with the products and updates in the future.</w:t>
      </w:r>
      <w:r w:rsidRPr="000958B4">
        <w:t xml:space="preserve"> </w:t>
      </w:r>
    </w:p>
    <w:p w14:paraId="043FA5CC" w14:textId="77777777" w:rsidR="00531DE0" w:rsidRPr="00853E31" w:rsidRDefault="00531DE0" w:rsidP="002666E2">
      <w:pPr>
        <w:numPr>
          <w:ilvl w:val="1"/>
          <w:numId w:val="6"/>
        </w:numPr>
      </w:pPr>
      <w:r w:rsidRPr="00853E31">
        <w:t>It is important to remember that NFPA 70E is a living program</w:t>
      </w:r>
      <w:r w:rsidR="00853E31" w:rsidRPr="00853E31">
        <w:t>,</w:t>
      </w:r>
      <w:r w:rsidRPr="00853E31">
        <w:t xml:space="preserve"> so a </w:t>
      </w:r>
      <w:proofErr w:type="gramStart"/>
      <w:r w:rsidRPr="00853E31">
        <w:t>user based</w:t>
      </w:r>
      <w:proofErr w:type="gramEnd"/>
      <w:r w:rsidRPr="00853E31">
        <w:t xml:space="preserve"> format is much easier to update than some other more technical styles of deliverables.</w:t>
      </w:r>
    </w:p>
    <w:p w14:paraId="18C83B62" w14:textId="77777777" w:rsidR="002666E2" w:rsidRPr="000958B4" w:rsidRDefault="00F8753D" w:rsidP="002666E2">
      <w:pPr>
        <w:numPr>
          <w:ilvl w:val="1"/>
          <w:numId w:val="6"/>
        </w:numPr>
      </w:pPr>
      <w:r w:rsidRPr="000958B4">
        <w:t>Article 130.5 within NFPA 70E makes a confusing</w:t>
      </w:r>
      <w:r w:rsidR="002666E2" w:rsidRPr="000958B4">
        <w:t xml:space="preserve"> statement o</w:t>
      </w:r>
      <w:r w:rsidR="00853E31">
        <w:t>f updates not to exceed every five years.  D</w:t>
      </w:r>
      <w:r w:rsidR="002666E2" w:rsidRPr="000958B4">
        <w:t xml:space="preserve">o not be fooled by that comment.  OSHA </w:t>
      </w:r>
      <w:r w:rsidRPr="000958B4">
        <w:t xml:space="preserve">commonly </w:t>
      </w:r>
      <w:r w:rsidR="002666E2" w:rsidRPr="000958B4">
        <w:t xml:space="preserve">expects this program to be </w:t>
      </w:r>
      <w:r w:rsidR="002666E2" w:rsidRPr="000958B4">
        <w:lastRenderedPageBreak/>
        <w:t xml:space="preserve">reviewed annually just like LOTO and </w:t>
      </w:r>
      <w:r w:rsidR="00853E31">
        <w:t>Hazard Communication</w:t>
      </w:r>
      <w:r w:rsidR="002666E2" w:rsidRPr="000958B4">
        <w:t xml:space="preserve"> programs</w:t>
      </w:r>
      <w:r w:rsidRPr="000958B4">
        <w:t xml:space="preserve"> within all business sectors</w:t>
      </w:r>
      <w:r w:rsidR="002666E2" w:rsidRPr="000958B4">
        <w:t xml:space="preserve">.  </w:t>
      </w:r>
    </w:p>
    <w:p w14:paraId="549AE1E3" w14:textId="77777777" w:rsidR="00ED0235" w:rsidRPr="000958B4" w:rsidRDefault="00ED0235" w:rsidP="007977FB"/>
    <w:p w14:paraId="54D89FA6" w14:textId="77777777" w:rsidR="007977FB" w:rsidRPr="000958B4" w:rsidRDefault="00ED0235" w:rsidP="007977FB">
      <w:pPr>
        <w:numPr>
          <w:ilvl w:val="0"/>
          <w:numId w:val="6"/>
        </w:numPr>
      </w:pPr>
      <w:r w:rsidRPr="000958B4">
        <w:t>Are your written policies effective and complete?</w:t>
      </w:r>
    </w:p>
    <w:p w14:paraId="15718983" w14:textId="77777777" w:rsidR="002666E2" w:rsidRPr="000958B4" w:rsidRDefault="002666E2" w:rsidP="002666E2">
      <w:pPr>
        <w:numPr>
          <w:ilvl w:val="1"/>
          <w:numId w:val="6"/>
        </w:numPr>
      </w:pPr>
      <w:r w:rsidRPr="000958B4">
        <w:t>There are a lot of great examples of safety policies out there to pull from.</w:t>
      </w:r>
    </w:p>
    <w:p w14:paraId="3FB510C6" w14:textId="77777777" w:rsidR="002666E2" w:rsidRPr="000958B4" w:rsidRDefault="002666E2" w:rsidP="002666E2">
      <w:pPr>
        <w:numPr>
          <w:ilvl w:val="1"/>
          <w:numId w:val="6"/>
        </w:numPr>
      </w:pPr>
      <w:r w:rsidRPr="000958B4">
        <w:t xml:space="preserve">Be specific when </w:t>
      </w:r>
      <w:proofErr w:type="gramStart"/>
      <w:r w:rsidRPr="000958B4">
        <w:t>possible</w:t>
      </w:r>
      <w:proofErr w:type="gramEnd"/>
      <w:r w:rsidRPr="000958B4">
        <w:t xml:space="preserve"> on expectations and polish up your efforts on documentation with work permits and labeling.</w:t>
      </w:r>
    </w:p>
    <w:p w14:paraId="20515FE3" w14:textId="77777777" w:rsidR="002666E2" w:rsidRPr="000958B4" w:rsidRDefault="002666E2" w:rsidP="002666E2">
      <w:pPr>
        <w:numPr>
          <w:ilvl w:val="1"/>
          <w:numId w:val="6"/>
        </w:numPr>
      </w:pPr>
      <w:r w:rsidRPr="000958B4">
        <w:t xml:space="preserve">If you </w:t>
      </w:r>
      <w:r w:rsidR="00E8039E" w:rsidRPr="000958B4">
        <w:t>have</w:t>
      </w:r>
      <w:r w:rsidRPr="000958B4">
        <w:t xml:space="preserve"> multiple sites, it would be a good decision to have one source help you </w:t>
      </w:r>
      <w:r w:rsidR="00853E31">
        <w:t xml:space="preserve">be consistent </w:t>
      </w:r>
      <w:r w:rsidRPr="000958B4">
        <w:t xml:space="preserve">with all of them on NFPA 70E.  </w:t>
      </w:r>
    </w:p>
    <w:p w14:paraId="6CD846C7" w14:textId="77777777" w:rsidR="002666E2" w:rsidRPr="000958B4" w:rsidRDefault="002666E2" w:rsidP="002666E2">
      <w:pPr>
        <w:numPr>
          <w:ilvl w:val="1"/>
          <w:numId w:val="6"/>
        </w:numPr>
      </w:pPr>
      <w:r w:rsidRPr="000958B4">
        <w:t>There are no two vendors who look at NFPA 70E the same way</w:t>
      </w:r>
      <w:r w:rsidR="00E8039E" w:rsidRPr="000958B4">
        <w:t>.</w:t>
      </w:r>
    </w:p>
    <w:p w14:paraId="40202CCA" w14:textId="77777777" w:rsidR="00BE48F2" w:rsidRPr="000958B4" w:rsidRDefault="00BE48F2" w:rsidP="00BE48F2"/>
    <w:p w14:paraId="2D631BD3" w14:textId="77777777" w:rsidR="00ED0235" w:rsidRPr="000958B4" w:rsidRDefault="00DD09FE" w:rsidP="00BE48F2">
      <w:pPr>
        <w:numPr>
          <w:ilvl w:val="0"/>
          <w:numId w:val="6"/>
        </w:numPr>
        <w:ind w:left="540"/>
      </w:pPr>
      <w:r w:rsidRPr="000958B4">
        <w:t xml:space="preserve"> </w:t>
      </w:r>
      <w:r w:rsidR="00ED0235" w:rsidRPr="000958B4">
        <w:t xml:space="preserve">Do </w:t>
      </w:r>
      <w:r w:rsidR="002666E2" w:rsidRPr="000958B4">
        <w:t>your</w:t>
      </w:r>
      <w:r w:rsidR="00621868" w:rsidRPr="000958B4">
        <w:t xml:space="preserve"> EHS</w:t>
      </w:r>
      <w:r w:rsidR="002666E2" w:rsidRPr="000958B4">
        <w:t xml:space="preserve"> policies </w:t>
      </w:r>
      <w:r w:rsidR="00ED0235" w:rsidRPr="000958B4">
        <w:t>address contractor qualifications?</w:t>
      </w:r>
    </w:p>
    <w:p w14:paraId="4E2F2A58" w14:textId="77777777" w:rsidR="00040DDD" w:rsidRPr="000958B4" w:rsidRDefault="00040DDD" w:rsidP="00040DDD">
      <w:pPr>
        <w:ind w:left="540"/>
      </w:pPr>
    </w:p>
    <w:p w14:paraId="027850C2" w14:textId="77777777" w:rsidR="00040DDD" w:rsidRPr="000958B4" w:rsidRDefault="00DD09FE" w:rsidP="00BE48F2">
      <w:pPr>
        <w:numPr>
          <w:ilvl w:val="0"/>
          <w:numId w:val="6"/>
        </w:numPr>
        <w:ind w:left="540"/>
      </w:pPr>
      <w:r w:rsidRPr="000958B4">
        <w:t xml:space="preserve"> </w:t>
      </w:r>
      <w:r w:rsidR="00040DDD" w:rsidRPr="000958B4">
        <w:t xml:space="preserve">Do you currently have a maintenance testing program on your primary electrical switchgear?  </w:t>
      </w:r>
      <w:hyperlink r:id="rId22" w:history="1">
        <w:r w:rsidR="00040DDD" w:rsidRPr="00A56EA8">
          <w:rPr>
            <w:rStyle w:val="Hyperlink"/>
          </w:rPr>
          <w:t>NFPA 70B</w:t>
        </w:r>
      </w:hyperlink>
      <w:r w:rsidR="00040DDD" w:rsidRPr="000958B4">
        <w:t xml:space="preserve"> is your guide on testing and this is a key element most programs overlook.</w:t>
      </w:r>
    </w:p>
    <w:p w14:paraId="5CBECD56" w14:textId="77777777" w:rsidR="00040DDD" w:rsidRPr="000958B4" w:rsidRDefault="00040DDD" w:rsidP="007977FB"/>
    <w:p w14:paraId="1ED83231" w14:textId="77777777" w:rsidR="00580B3F" w:rsidRPr="000958B4" w:rsidRDefault="00DD09FE" w:rsidP="00BE48F2">
      <w:pPr>
        <w:numPr>
          <w:ilvl w:val="0"/>
          <w:numId w:val="6"/>
        </w:numPr>
        <w:ind w:left="540"/>
      </w:pPr>
      <w:r w:rsidRPr="000958B4">
        <w:t xml:space="preserve"> </w:t>
      </w:r>
      <w:r w:rsidR="00ED0235" w:rsidRPr="000958B4">
        <w:t>Are your employees trained effectively and are they qualified?</w:t>
      </w:r>
    </w:p>
    <w:p w14:paraId="670A3307" w14:textId="77777777" w:rsidR="00040DDD" w:rsidRPr="000958B4" w:rsidRDefault="00040DDD" w:rsidP="00040DDD">
      <w:pPr>
        <w:numPr>
          <w:ilvl w:val="1"/>
          <w:numId w:val="6"/>
        </w:numPr>
      </w:pPr>
      <w:r w:rsidRPr="000958B4">
        <w:t xml:space="preserve">Currently no matter how well your policies are drafted, the proof in your </w:t>
      </w:r>
      <w:proofErr w:type="gramStart"/>
      <w:r w:rsidRPr="000958B4">
        <w:t>programs</w:t>
      </w:r>
      <w:proofErr w:type="gramEnd"/>
      <w:r w:rsidRPr="000958B4">
        <w:t xml:space="preserve"> success is how well your employees can demonstrate ESWP needs.</w:t>
      </w:r>
    </w:p>
    <w:p w14:paraId="0D547A59" w14:textId="77777777" w:rsidR="00040DDD" w:rsidRPr="00853E31" w:rsidRDefault="00040DDD" w:rsidP="00040DDD">
      <w:pPr>
        <w:numPr>
          <w:ilvl w:val="1"/>
          <w:numId w:val="6"/>
        </w:numPr>
      </w:pPr>
      <w:r w:rsidRPr="00853E31">
        <w:t>Focus on skills demonstration programs and document those well</w:t>
      </w:r>
      <w:r w:rsidR="00531DE0" w:rsidRPr="00853E31">
        <w:t xml:space="preserve">.  OSHA is seeking evidence that qualified employees </w:t>
      </w:r>
      <w:proofErr w:type="gramStart"/>
      <w:r w:rsidR="00531DE0" w:rsidRPr="00853E31">
        <w:t>are capable of showing</w:t>
      </w:r>
      <w:proofErr w:type="gramEnd"/>
      <w:r w:rsidR="00531DE0" w:rsidRPr="00853E31">
        <w:t xml:space="preserve"> they have the skills and knowledge necessary to get to a de-energized condition</w:t>
      </w:r>
      <w:r w:rsidRPr="00853E31">
        <w:t>!</w:t>
      </w:r>
    </w:p>
    <w:p w14:paraId="7CE663E6" w14:textId="77777777" w:rsidR="00531DE0" w:rsidRDefault="00531DE0" w:rsidP="00040DDD">
      <w:pPr>
        <w:rPr>
          <w:b/>
        </w:rPr>
      </w:pPr>
    </w:p>
    <w:p w14:paraId="2D9357E8" w14:textId="77777777" w:rsidR="00040DDD" w:rsidRPr="000958B4" w:rsidRDefault="00040DDD" w:rsidP="00040DDD">
      <w:pPr>
        <w:rPr>
          <w:b/>
        </w:rPr>
      </w:pPr>
      <w:r w:rsidRPr="000958B4">
        <w:rPr>
          <w:b/>
        </w:rPr>
        <w:t>Summary:</w:t>
      </w:r>
    </w:p>
    <w:p w14:paraId="08A021BF" w14:textId="77777777" w:rsidR="00040DDD" w:rsidRPr="000958B4" w:rsidRDefault="00040DDD" w:rsidP="00040DDD">
      <w:r w:rsidRPr="000958B4">
        <w:t xml:space="preserve">If you look at NFPA 70E it is important to realize that this code is simply a reference </w:t>
      </w:r>
      <w:r w:rsidR="00F8753D" w:rsidRPr="000958B4">
        <w:t xml:space="preserve">guide </w:t>
      </w:r>
      <w:r w:rsidRPr="000958B4">
        <w:t>and it is not the final statement</w:t>
      </w:r>
      <w:r w:rsidR="00DD09FE" w:rsidRPr="000958B4">
        <w:t xml:space="preserve"> of the topic</w:t>
      </w:r>
      <w:r w:rsidRPr="000958B4">
        <w:t>.   At the end of the day, NFPA 70E is not direct enough and it is up to the employer to create programs that cover their needs</w:t>
      </w:r>
      <w:r w:rsidR="00F8753D" w:rsidRPr="000958B4">
        <w:t xml:space="preserve"> completely</w:t>
      </w:r>
      <w:r w:rsidR="001D12A4">
        <w:t>.  D</w:t>
      </w:r>
      <w:r w:rsidR="00F8753D" w:rsidRPr="000958B4">
        <w:t>ue to the open concept of the code</w:t>
      </w:r>
      <w:r w:rsidR="007912CF">
        <w:t>,</w:t>
      </w:r>
      <w:r w:rsidR="00F8753D" w:rsidRPr="000958B4">
        <w:t xml:space="preserve"> </w:t>
      </w:r>
      <w:r w:rsidR="001D12A4">
        <w:t>it is again up to each employer to manage safety with the concepts of Electrical Safe Work Practices in mind</w:t>
      </w:r>
      <w:r w:rsidRPr="000958B4">
        <w:t>.</w:t>
      </w:r>
      <w:r w:rsidR="00DD09FE" w:rsidRPr="000958B4">
        <w:t xml:space="preserve">  </w:t>
      </w:r>
    </w:p>
    <w:p w14:paraId="023B544A" w14:textId="77777777" w:rsidR="00DD09FE" w:rsidRDefault="00040DDD" w:rsidP="00040DDD">
      <w:r w:rsidRPr="000958B4">
        <w:br/>
        <w:t xml:space="preserve">OSHA will seldom reference NFPA 70E </w:t>
      </w:r>
      <w:r w:rsidR="00621868" w:rsidRPr="000958B4">
        <w:t xml:space="preserve">under their general duty clause and commonly uses </w:t>
      </w:r>
      <w:r w:rsidRPr="000958B4">
        <w:t>Sub Part S standards listed in 301-335 as their primary citation</w:t>
      </w:r>
      <w:r w:rsidR="003C1FE9" w:rsidRPr="000958B4">
        <w:t xml:space="preserve"> source</w:t>
      </w:r>
      <w:r w:rsidR="00EF31BD">
        <w:t xml:space="preserve"> m</w:t>
      </w:r>
      <w:r w:rsidR="003C1FE9" w:rsidRPr="000958B4">
        <w:t>aking it clear that</w:t>
      </w:r>
      <w:r w:rsidR="00EF31BD">
        <w:t xml:space="preserve">:  </w:t>
      </w:r>
      <w:r w:rsidR="003C1FE9" w:rsidRPr="000958B4">
        <w:t xml:space="preserve">the </w:t>
      </w:r>
      <w:r w:rsidR="00621868" w:rsidRPr="000958B4">
        <w:t>f</w:t>
      </w:r>
      <w:r w:rsidR="003C1FE9" w:rsidRPr="000958B4">
        <w:t xml:space="preserve">ocus on key </w:t>
      </w:r>
      <w:r w:rsidRPr="000958B4">
        <w:t xml:space="preserve">basics of </w:t>
      </w:r>
      <w:r w:rsidR="00621868" w:rsidRPr="000958B4">
        <w:t xml:space="preserve">electrical </w:t>
      </w:r>
      <w:r w:rsidRPr="000958B4">
        <w:t>safety</w:t>
      </w:r>
      <w:r w:rsidR="00EF31BD">
        <w:t>,</w:t>
      </w:r>
      <w:r w:rsidRPr="000958B4">
        <w:t xml:space="preserve"> with LOTO </w:t>
      </w:r>
      <w:r w:rsidR="00EF31BD">
        <w:t xml:space="preserve">goals, </w:t>
      </w:r>
      <w:r w:rsidRPr="000958B4">
        <w:t xml:space="preserve">quality One-Line Drawings ruling your decisions </w:t>
      </w:r>
      <w:r w:rsidR="00621868" w:rsidRPr="000958B4">
        <w:t>along with sound skills demonstration training efforts by your qualified employees</w:t>
      </w:r>
      <w:r w:rsidR="003C1FE9" w:rsidRPr="000958B4">
        <w:t xml:space="preserve"> is </w:t>
      </w:r>
      <w:r w:rsidR="00EF31BD">
        <w:t>fundamental</w:t>
      </w:r>
      <w:r w:rsidR="003C1FE9" w:rsidRPr="000958B4">
        <w:t xml:space="preserve"> to successful programs.  </w:t>
      </w:r>
      <w:r w:rsidR="00DD09FE" w:rsidRPr="000958B4">
        <w:t xml:space="preserve"> The trends we have seen to date on a </w:t>
      </w:r>
      <w:proofErr w:type="gramStart"/>
      <w:r w:rsidR="00DD09FE" w:rsidRPr="000958B4">
        <w:t>National</w:t>
      </w:r>
      <w:proofErr w:type="gramEnd"/>
      <w:r w:rsidR="00DD09FE" w:rsidRPr="000958B4">
        <w:t xml:space="preserve"> level</w:t>
      </w:r>
      <w:r w:rsidR="00EF31BD">
        <w:t>,</w:t>
      </w:r>
      <w:r w:rsidR="00DD09FE" w:rsidRPr="000958B4">
        <w:t xml:space="preserve"> since roughly 2006 with NFPA 70E</w:t>
      </w:r>
      <w:r w:rsidR="00EF31BD">
        <w:t>,</w:t>
      </w:r>
      <w:r w:rsidR="00DD09FE" w:rsidRPr="000958B4">
        <w:t xml:space="preserve"> are not </w:t>
      </w:r>
      <w:r w:rsidR="00621868" w:rsidRPr="000958B4">
        <w:t xml:space="preserve">typically </w:t>
      </w:r>
      <w:r w:rsidR="00DD09FE" w:rsidRPr="000958B4">
        <w:t xml:space="preserve">complete enough to </w:t>
      </w:r>
      <w:r w:rsidR="00EF31BD">
        <w:t xml:space="preserve">be </w:t>
      </w:r>
      <w:r w:rsidR="00DD09FE" w:rsidRPr="000958B4">
        <w:t>truly helpful to the owners of the</w:t>
      </w:r>
      <w:r w:rsidR="00621868" w:rsidRPr="000958B4">
        <w:t>se</w:t>
      </w:r>
      <w:r w:rsidR="003C1FE9" w:rsidRPr="000958B4">
        <w:t xml:space="preserve"> arc flash studies commonly done today.</w:t>
      </w:r>
    </w:p>
    <w:p w14:paraId="391D3B54" w14:textId="77777777" w:rsidR="001E7DFA" w:rsidRDefault="001E7DFA" w:rsidP="00040DDD"/>
    <w:p w14:paraId="3179D1F2" w14:textId="77777777" w:rsidR="00EC39D9" w:rsidRDefault="00EC39D9" w:rsidP="00040DDD"/>
    <w:p w14:paraId="297805E2" w14:textId="77777777" w:rsidR="00411EF3" w:rsidRPr="00B8132D" w:rsidRDefault="00411EF3" w:rsidP="00411EF3">
      <w:pPr>
        <w:spacing w:before="100" w:after="100"/>
        <w:rPr>
          <w:b/>
          <w:snapToGrid w:val="0"/>
          <w:szCs w:val="20"/>
        </w:rPr>
      </w:pPr>
      <w:r w:rsidRPr="00B8132D">
        <w:rPr>
          <w:b/>
          <w:snapToGrid w:val="0"/>
          <w:szCs w:val="20"/>
        </w:rPr>
        <w:t xml:space="preserve">This </w:t>
      </w:r>
      <w:r>
        <w:rPr>
          <w:b/>
          <w:snapToGrid w:val="0"/>
          <w:szCs w:val="20"/>
        </w:rPr>
        <w:t>guide</w:t>
      </w:r>
      <w:r w:rsidRPr="00B8132D">
        <w:rPr>
          <w:b/>
          <w:snapToGrid w:val="0"/>
          <w:szCs w:val="20"/>
        </w:rPr>
        <w:t xml:space="preserve"> has been </w:t>
      </w:r>
      <w:r w:rsidR="00C63AC7">
        <w:rPr>
          <w:b/>
          <w:snapToGrid w:val="0"/>
          <w:szCs w:val="20"/>
        </w:rPr>
        <w:t>adapted</w:t>
      </w:r>
      <w:r w:rsidRPr="00B8132D">
        <w:rPr>
          <w:b/>
          <w:snapToGrid w:val="0"/>
          <w:szCs w:val="20"/>
        </w:rPr>
        <w:t xml:space="preserve"> by the Bureau of State Risk Managemen</w:t>
      </w:r>
      <w:r w:rsidR="00C63AC7">
        <w:rPr>
          <w:b/>
          <w:snapToGrid w:val="0"/>
          <w:szCs w:val="20"/>
        </w:rPr>
        <w:t>t</w:t>
      </w:r>
      <w:r w:rsidR="001E2599">
        <w:rPr>
          <w:b/>
          <w:snapToGrid w:val="0"/>
          <w:szCs w:val="20"/>
        </w:rPr>
        <w:t xml:space="preserve"> and the Division of Facilities Development</w:t>
      </w:r>
      <w:r w:rsidR="00C63AC7">
        <w:rPr>
          <w:b/>
          <w:snapToGrid w:val="0"/>
          <w:szCs w:val="20"/>
        </w:rPr>
        <w:t xml:space="preserve">, Department of Administration, </w:t>
      </w:r>
      <w:r w:rsidRPr="00B8132D">
        <w:rPr>
          <w:b/>
          <w:snapToGrid w:val="0"/>
          <w:szCs w:val="20"/>
        </w:rPr>
        <w:t xml:space="preserve">originally developed by </w:t>
      </w:r>
      <w:r>
        <w:rPr>
          <w:b/>
          <w:snapToGrid w:val="0"/>
          <w:szCs w:val="20"/>
        </w:rPr>
        <w:t>Faith Technologies</w:t>
      </w:r>
      <w:r w:rsidRPr="00B8132D">
        <w:rPr>
          <w:b/>
          <w:snapToGrid w:val="0"/>
          <w:szCs w:val="20"/>
        </w:rPr>
        <w:t>.</w:t>
      </w:r>
    </w:p>
    <w:p w14:paraId="7C868830" w14:textId="77777777" w:rsidR="00411EF3" w:rsidRDefault="00411EF3" w:rsidP="00040DDD"/>
    <w:p w14:paraId="50239884" w14:textId="77777777" w:rsidR="00411EF3" w:rsidRPr="000958B4" w:rsidRDefault="00411EF3" w:rsidP="00040DDD"/>
    <w:sectPr w:rsidR="00411EF3" w:rsidRPr="000958B4" w:rsidSect="00DD09FE">
      <w:footerReference w:type="default" r:id="rId2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6310A" w14:textId="77777777" w:rsidR="006C3988" w:rsidRDefault="006C3988" w:rsidP="003C1FE9">
      <w:r>
        <w:separator/>
      </w:r>
    </w:p>
  </w:endnote>
  <w:endnote w:type="continuationSeparator" w:id="0">
    <w:p w14:paraId="7702BB4E" w14:textId="77777777" w:rsidR="006C3988" w:rsidRDefault="006C3988" w:rsidP="003C1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7C99B" w14:textId="77777777" w:rsidR="003C1FE9" w:rsidRDefault="00CF58FA" w:rsidP="001805C9">
    <w:pPr>
      <w:pStyle w:val="Footer"/>
      <w:jc w:val="right"/>
    </w:pPr>
    <w:r>
      <w:t>4/8</w:t>
    </w:r>
    <w:r w:rsidR="001805C9">
      <w:t>/16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AA8C3" w14:textId="77777777" w:rsidR="006C3988" w:rsidRDefault="006C3988" w:rsidP="003C1FE9">
      <w:r>
        <w:separator/>
      </w:r>
    </w:p>
  </w:footnote>
  <w:footnote w:type="continuationSeparator" w:id="0">
    <w:p w14:paraId="08578274" w14:textId="77777777" w:rsidR="006C3988" w:rsidRDefault="006C3988" w:rsidP="003C1F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D6020"/>
    <w:multiLevelType w:val="hybridMultilevel"/>
    <w:tmpl w:val="FB547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9310CA"/>
    <w:multiLevelType w:val="hybridMultilevel"/>
    <w:tmpl w:val="9424CA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B3372F"/>
    <w:multiLevelType w:val="hybridMultilevel"/>
    <w:tmpl w:val="851037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0B1980"/>
    <w:multiLevelType w:val="hybridMultilevel"/>
    <w:tmpl w:val="F334A6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F8017FE"/>
    <w:multiLevelType w:val="hybridMultilevel"/>
    <w:tmpl w:val="35A8CA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2D3012"/>
    <w:multiLevelType w:val="hybridMultilevel"/>
    <w:tmpl w:val="BD70F0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8E21C5F"/>
    <w:multiLevelType w:val="hybridMultilevel"/>
    <w:tmpl w:val="5114D9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B8536E7"/>
    <w:multiLevelType w:val="hybridMultilevel"/>
    <w:tmpl w:val="D722B2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844133"/>
    <w:multiLevelType w:val="hybridMultilevel"/>
    <w:tmpl w:val="1464B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BB376A"/>
    <w:multiLevelType w:val="hybridMultilevel"/>
    <w:tmpl w:val="84CC1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7E4D39"/>
    <w:multiLevelType w:val="hybridMultilevel"/>
    <w:tmpl w:val="1464B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E319FA"/>
    <w:multiLevelType w:val="hybridMultilevel"/>
    <w:tmpl w:val="7D0809CE"/>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60"/>
        </w:tabs>
        <w:ind w:left="-60" w:hanging="360"/>
      </w:pPr>
      <w:rPr>
        <w:rFonts w:ascii="Courier New" w:hAnsi="Courier New" w:cs="Courier New" w:hint="default"/>
      </w:rPr>
    </w:lvl>
    <w:lvl w:ilvl="2" w:tplc="04090005" w:tentative="1">
      <w:start w:val="1"/>
      <w:numFmt w:val="bullet"/>
      <w:lvlText w:val=""/>
      <w:lvlJc w:val="left"/>
      <w:pPr>
        <w:tabs>
          <w:tab w:val="num" w:pos="660"/>
        </w:tabs>
        <w:ind w:left="660" w:hanging="360"/>
      </w:pPr>
      <w:rPr>
        <w:rFonts w:ascii="Wingdings" w:hAnsi="Wingdings" w:hint="default"/>
      </w:rPr>
    </w:lvl>
    <w:lvl w:ilvl="3" w:tplc="04090001" w:tentative="1">
      <w:start w:val="1"/>
      <w:numFmt w:val="bullet"/>
      <w:lvlText w:val=""/>
      <w:lvlJc w:val="left"/>
      <w:pPr>
        <w:tabs>
          <w:tab w:val="num" w:pos="1380"/>
        </w:tabs>
        <w:ind w:left="1380" w:hanging="360"/>
      </w:pPr>
      <w:rPr>
        <w:rFonts w:ascii="Symbol" w:hAnsi="Symbol" w:hint="default"/>
      </w:rPr>
    </w:lvl>
    <w:lvl w:ilvl="4" w:tplc="04090003" w:tentative="1">
      <w:start w:val="1"/>
      <w:numFmt w:val="bullet"/>
      <w:lvlText w:val="o"/>
      <w:lvlJc w:val="left"/>
      <w:pPr>
        <w:tabs>
          <w:tab w:val="num" w:pos="2100"/>
        </w:tabs>
        <w:ind w:left="2100" w:hanging="360"/>
      </w:pPr>
      <w:rPr>
        <w:rFonts w:ascii="Courier New" w:hAnsi="Courier New" w:cs="Courier New" w:hint="default"/>
      </w:rPr>
    </w:lvl>
    <w:lvl w:ilvl="5" w:tplc="04090005" w:tentative="1">
      <w:start w:val="1"/>
      <w:numFmt w:val="bullet"/>
      <w:lvlText w:val=""/>
      <w:lvlJc w:val="left"/>
      <w:pPr>
        <w:tabs>
          <w:tab w:val="num" w:pos="2820"/>
        </w:tabs>
        <w:ind w:left="2820" w:hanging="360"/>
      </w:pPr>
      <w:rPr>
        <w:rFonts w:ascii="Wingdings" w:hAnsi="Wingdings" w:hint="default"/>
      </w:rPr>
    </w:lvl>
    <w:lvl w:ilvl="6" w:tplc="04090001" w:tentative="1">
      <w:start w:val="1"/>
      <w:numFmt w:val="bullet"/>
      <w:lvlText w:val=""/>
      <w:lvlJc w:val="left"/>
      <w:pPr>
        <w:tabs>
          <w:tab w:val="num" w:pos="3540"/>
        </w:tabs>
        <w:ind w:left="3540" w:hanging="360"/>
      </w:pPr>
      <w:rPr>
        <w:rFonts w:ascii="Symbol" w:hAnsi="Symbol" w:hint="default"/>
      </w:rPr>
    </w:lvl>
    <w:lvl w:ilvl="7" w:tplc="04090003" w:tentative="1">
      <w:start w:val="1"/>
      <w:numFmt w:val="bullet"/>
      <w:lvlText w:val="o"/>
      <w:lvlJc w:val="left"/>
      <w:pPr>
        <w:tabs>
          <w:tab w:val="num" w:pos="4260"/>
        </w:tabs>
        <w:ind w:left="4260" w:hanging="360"/>
      </w:pPr>
      <w:rPr>
        <w:rFonts w:ascii="Courier New" w:hAnsi="Courier New" w:cs="Courier New" w:hint="default"/>
      </w:rPr>
    </w:lvl>
    <w:lvl w:ilvl="8" w:tplc="04090005" w:tentative="1">
      <w:start w:val="1"/>
      <w:numFmt w:val="bullet"/>
      <w:lvlText w:val=""/>
      <w:lvlJc w:val="left"/>
      <w:pPr>
        <w:tabs>
          <w:tab w:val="num" w:pos="4980"/>
        </w:tabs>
        <w:ind w:left="4980" w:hanging="360"/>
      </w:pPr>
      <w:rPr>
        <w:rFonts w:ascii="Wingdings" w:hAnsi="Wingdings" w:hint="default"/>
      </w:rPr>
    </w:lvl>
  </w:abstractNum>
  <w:num w:numId="1" w16cid:durableId="884561446">
    <w:abstractNumId w:val="6"/>
  </w:num>
  <w:num w:numId="2" w16cid:durableId="1057629920">
    <w:abstractNumId w:val="2"/>
  </w:num>
  <w:num w:numId="3" w16cid:durableId="188488731">
    <w:abstractNumId w:val="7"/>
  </w:num>
  <w:num w:numId="4" w16cid:durableId="1688363064">
    <w:abstractNumId w:val="1"/>
  </w:num>
  <w:num w:numId="5" w16cid:durableId="212541573">
    <w:abstractNumId w:val="4"/>
  </w:num>
  <w:num w:numId="6" w16cid:durableId="955673701">
    <w:abstractNumId w:val="8"/>
  </w:num>
  <w:num w:numId="7" w16cid:durableId="815797775">
    <w:abstractNumId w:val="10"/>
  </w:num>
  <w:num w:numId="8" w16cid:durableId="1883322940">
    <w:abstractNumId w:val="9"/>
  </w:num>
  <w:num w:numId="9" w16cid:durableId="1188712438">
    <w:abstractNumId w:val="0"/>
  </w:num>
  <w:num w:numId="10" w16cid:durableId="1665013664">
    <w:abstractNumId w:val="11"/>
  </w:num>
  <w:num w:numId="11" w16cid:durableId="2047366796">
    <w:abstractNumId w:val="3"/>
  </w:num>
  <w:num w:numId="12" w16cid:durableId="18714544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B3F"/>
    <w:rsid w:val="000023B9"/>
    <w:rsid w:val="00040DDD"/>
    <w:rsid w:val="00053BA6"/>
    <w:rsid w:val="00056AD5"/>
    <w:rsid w:val="00080A12"/>
    <w:rsid w:val="00087EB0"/>
    <w:rsid w:val="000958B4"/>
    <w:rsid w:val="000C6581"/>
    <w:rsid w:val="000D751E"/>
    <w:rsid w:val="00101964"/>
    <w:rsid w:val="00134790"/>
    <w:rsid w:val="00141790"/>
    <w:rsid w:val="00151BF8"/>
    <w:rsid w:val="00160462"/>
    <w:rsid w:val="001805C9"/>
    <w:rsid w:val="001D12A4"/>
    <w:rsid w:val="001E2599"/>
    <w:rsid w:val="001E7DFA"/>
    <w:rsid w:val="00240D7B"/>
    <w:rsid w:val="00255851"/>
    <w:rsid w:val="002666E2"/>
    <w:rsid w:val="002A6360"/>
    <w:rsid w:val="002B23A7"/>
    <w:rsid w:val="00386B75"/>
    <w:rsid w:val="00394309"/>
    <w:rsid w:val="003975A8"/>
    <w:rsid w:val="003A59E8"/>
    <w:rsid w:val="003C1FE9"/>
    <w:rsid w:val="003C7F71"/>
    <w:rsid w:val="00411EF3"/>
    <w:rsid w:val="00426933"/>
    <w:rsid w:val="00436453"/>
    <w:rsid w:val="00462516"/>
    <w:rsid w:val="00465E76"/>
    <w:rsid w:val="00494429"/>
    <w:rsid w:val="00531D85"/>
    <w:rsid w:val="00531DE0"/>
    <w:rsid w:val="00543CB0"/>
    <w:rsid w:val="00580B3F"/>
    <w:rsid w:val="005923DB"/>
    <w:rsid w:val="0060384C"/>
    <w:rsid w:val="00621868"/>
    <w:rsid w:val="006471A9"/>
    <w:rsid w:val="006C3988"/>
    <w:rsid w:val="006F2BB0"/>
    <w:rsid w:val="0070072C"/>
    <w:rsid w:val="00762126"/>
    <w:rsid w:val="007654C6"/>
    <w:rsid w:val="007912CF"/>
    <w:rsid w:val="007977FB"/>
    <w:rsid w:val="007D5E54"/>
    <w:rsid w:val="007E2441"/>
    <w:rsid w:val="007E5360"/>
    <w:rsid w:val="0080326F"/>
    <w:rsid w:val="008157EC"/>
    <w:rsid w:val="00853E31"/>
    <w:rsid w:val="008A0E5C"/>
    <w:rsid w:val="008C3F58"/>
    <w:rsid w:val="008C6E89"/>
    <w:rsid w:val="008F288C"/>
    <w:rsid w:val="0091505A"/>
    <w:rsid w:val="00946775"/>
    <w:rsid w:val="009728DC"/>
    <w:rsid w:val="00974603"/>
    <w:rsid w:val="009D37FC"/>
    <w:rsid w:val="00A56EA8"/>
    <w:rsid w:val="00A93B79"/>
    <w:rsid w:val="00AA08DF"/>
    <w:rsid w:val="00AC32A0"/>
    <w:rsid w:val="00AD746F"/>
    <w:rsid w:val="00AF6049"/>
    <w:rsid w:val="00AF7073"/>
    <w:rsid w:val="00B36173"/>
    <w:rsid w:val="00BD7B20"/>
    <w:rsid w:val="00BE48F2"/>
    <w:rsid w:val="00BE5B57"/>
    <w:rsid w:val="00BE5E6D"/>
    <w:rsid w:val="00C015D6"/>
    <w:rsid w:val="00C46483"/>
    <w:rsid w:val="00C63AC7"/>
    <w:rsid w:val="00CF58FA"/>
    <w:rsid w:val="00D6413F"/>
    <w:rsid w:val="00D70FB2"/>
    <w:rsid w:val="00D715B1"/>
    <w:rsid w:val="00DD09FE"/>
    <w:rsid w:val="00E134A8"/>
    <w:rsid w:val="00E62C10"/>
    <w:rsid w:val="00E713B0"/>
    <w:rsid w:val="00E8039E"/>
    <w:rsid w:val="00E82919"/>
    <w:rsid w:val="00E93900"/>
    <w:rsid w:val="00EA7CF1"/>
    <w:rsid w:val="00EB36C6"/>
    <w:rsid w:val="00EC39D9"/>
    <w:rsid w:val="00ED0235"/>
    <w:rsid w:val="00EE5212"/>
    <w:rsid w:val="00EF0159"/>
    <w:rsid w:val="00EF31BD"/>
    <w:rsid w:val="00F239A1"/>
    <w:rsid w:val="00F8753D"/>
    <w:rsid w:val="00FA08D8"/>
    <w:rsid w:val="00FB4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922CA27"/>
  <w15:chartTrackingRefBased/>
  <w15:docId w15:val="{06F185B8-3CC3-4915-B9C6-C9D755EBC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494429"/>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580B3F"/>
    <w:rPr>
      <w:rFonts w:ascii="Tahoma" w:hAnsi="Tahoma" w:cs="Tahoma"/>
      <w:sz w:val="16"/>
      <w:szCs w:val="16"/>
    </w:rPr>
  </w:style>
  <w:style w:type="paragraph" w:styleId="ListParagraph">
    <w:name w:val="List Paragraph"/>
    <w:basedOn w:val="Normal"/>
    <w:uiPriority w:val="34"/>
    <w:qFormat/>
    <w:rsid w:val="007977FB"/>
    <w:pPr>
      <w:ind w:left="720"/>
    </w:pPr>
  </w:style>
  <w:style w:type="paragraph" w:styleId="Header">
    <w:name w:val="header"/>
    <w:basedOn w:val="Normal"/>
    <w:link w:val="HeaderChar"/>
    <w:rsid w:val="003C1FE9"/>
    <w:pPr>
      <w:tabs>
        <w:tab w:val="center" w:pos="4680"/>
        <w:tab w:val="right" w:pos="9360"/>
      </w:tabs>
    </w:pPr>
  </w:style>
  <w:style w:type="character" w:customStyle="1" w:styleId="HeaderChar">
    <w:name w:val="Header Char"/>
    <w:link w:val="Header"/>
    <w:rsid w:val="003C1FE9"/>
    <w:rPr>
      <w:sz w:val="24"/>
      <w:szCs w:val="24"/>
    </w:rPr>
  </w:style>
  <w:style w:type="paragraph" w:styleId="Footer">
    <w:name w:val="footer"/>
    <w:basedOn w:val="Normal"/>
    <w:link w:val="FooterChar"/>
    <w:rsid w:val="003C1FE9"/>
    <w:pPr>
      <w:tabs>
        <w:tab w:val="center" w:pos="4680"/>
        <w:tab w:val="right" w:pos="9360"/>
      </w:tabs>
    </w:pPr>
  </w:style>
  <w:style w:type="character" w:customStyle="1" w:styleId="FooterChar">
    <w:name w:val="Footer Char"/>
    <w:link w:val="Footer"/>
    <w:rsid w:val="003C1FE9"/>
    <w:rPr>
      <w:sz w:val="24"/>
      <w:szCs w:val="24"/>
    </w:rPr>
  </w:style>
  <w:style w:type="paragraph" w:customStyle="1" w:styleId="Default">
    <w:name w:val="Default"/>
    <w:rsid w:val="00E82919"/>
    <w:pPr>
      <w:autoSpaceDE w:val="0"/>
      <w:autoSpaceDN w:val="0"/>
      <w:adjustRightInd w:val="0"/>
    </w:pPr>
    <w:rPr>
      <w:rFonts w:ascii="Cambria" w:hAnsi="Cambria" w:cs="Cambria"/>
      <w:color w:val="000000"/>
      <w:sz w:val="24"/>
      <w:szCs w:val="24"/>
    </w:rPr>
  </w:style>
  <w:style w:type="character" w:styleId="Hyperlink">
    <w:name w:val="Hyperlink"/>
    <w:rsid w:val="00E82919"/>
    <w:rPr>
      <w:color w:val="0000FF"/>
      <w:u w:val="single"/>
    </w:rPr>
  </w:style>
  <w:style w:type="character" w:styleId="FollowedHyperlink">
    <w:name w:val="FollowedHyperlink"/>
    <w:rsid w:val="00E82919"/>
    <w:rPr>
      <w:color w:val="800080"/>
      <w:u w:val="single"/>
    </w:rPr>
  </w:style>
  <w:style w:type="character" w:customStyle="1" w:styleId="Heading1Char">
    <w:name w:val="Heading 1 Char"/>
    <w:basedOn w:val="DefaultParagraphFont"/>
    <w:link w:val="Heading1"/>
    <w:rsid w:val="00494429"/>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157292">
      <w:bodyDiv w:val="1"/>
      <w:marLeft w:val="0"/>
      <w:marRight w:val="0"/>
      <w:marTop w:val="0"/>
      <w:marBottom w:val="0"/>
      <w:divBdr>
        <w:top w:val="none" w:sz="0" w:space="0" w:color="auto"/>
        <w:left w:val="none" w:sz="0" w:space="0" w:color="auto"/>
        <w:bottom w:val="none" w:sz="0" w:space="0" w:color="auto"/>
        <w:right w:val="none" w:sz="0" w:space="0" w:color="auto"/>
      </w:divBdr>
      <w:divsChild>
        <w:div w:id="2071885476">
          <w:marLeft w:val="0"/>
          <w:marRight w:val="0"/>
          <w:marTop w:val="0"/>
          <w:marBottom w:val="0"/>
          <w:divBdr>
            <w:top w:val="none" w:sz="0" w:space="0" w:color="auto"/>
            <w:left w:val="none" w:sz="0" w:space="0" w:color="auto"/>
            <w:bottom w:val="none" w:sz="0" w:space="0" w:color="auto"/>
            <w:right w:val="none" w:sz="0" w:space="0" w:color="auto"/>
          </w:divBdr>
          <w:divsChild>
            <w:div w:id="418643984">
              <w:marLeft w:val="0"/>
              <w:marRight w:val="0"/>
              <w:marTop w:val="0"/>
              <w:marBottom w:val="0"/>
              <w:divBdr>
                <w:top w:val="none" w:sz="0" w:space="0" w:color="auto"/>
                <w:left w:val="none" w:sz="0" w:space="0" w:color="auto"/>
                <w:bottom w:val="none" w:sz="0" w:space="0" w:color="auto"/>
                <w:right w:val="none" w:sz="0" w:space="0" w:color="auto"/>
              </w:divBdr>
              <w:divsChild>
                <w:div w:id="94177625">
                  <w:marLeft w:val="0"/>
                  <w:marRight w:val="0"/>
                  <w:marTop w:val="0"/>
                  <w:marBottom w:val="0"/>
                  <w:divBdr>
                    <w:top w:val="none" w:sz="0" w:space="0" w:color="auto"/>
                    <w:left w:val="none" w:sz="0" w:space="0" w:color="auto"/>
                    <w:bottom w:val="none" w:sz="0" w:space="0" w:color="auto"/>
                    <w:right w:val="none" w:sz="0" w:space="0" w:color="auto"/>
                  </w:divBdr>
                  <w:divsChild>
                    <w:div w:id="1440224551">
                      <w:marLeft w:val="0"/>
                      <w:marRight w:val="0"/>
                      <w:marTop w:val="0"/>
                      <w:marBottom w:val="0"/>
                      <w:divBdr>
                        <w:top w:val="none" w:sz="0" w:space="0" w:color="auto"/>
                        <w:left w:val="none" w:sz="0" w:space="0" w:color="auto"/>
                        <w:bottom w:val="none" w:sz="0" w:space="0" w:color="auto"/>
                        <w:right w:val="none" w:sz="0" w:space="0" w:color="auto"/>
                      </w:divBdr>
                      <w:divsChild>
                        <w:div w:id="632254701">
                          <w:marLeft w:val="0"/>
                          <w:marRight w:val="0"/>
                          <w:marTop w:val="0"/>
                          <w:marBottom w:val="0"/>
                          <w:divBdr>
                            <w:top w:val="none" w:sz="0" w:space="0" w:color="auto"/>
                            <w:left w:val="none" w:sz="0" w:space="0" w:color="auto"/>
                            <w:bottom w:val="none" w:sz="0" w:space="0" w:color="auto"/>
                            <w:right w:val="none" w:sz="0" w:space="0" w:color="auto"/>
                          </w:divBdr>
                          <w:divsChild>
                            <w:div w:id="1814448351">
                              <w:marLeft w:val="0"/>
                              <w:marRight w:val="0"/>
                              <w:marTop w:val="0"/>
                              <w:marBottom w:val="0"/>
                              <w:divBdr>
                                <w:top w:val="none" w:sz="0" w:space="0" w:color="auto"/>
                                <w:left w:val="none" w:sz="0" w:space="0" w:color="auto"/>
                                <w:bottom w:val="none" w:sz="0" w:space="0" w:color="auto"/>
                                <w:right w:val="none" w:sz="0" w:space="0" w:color="auto"/>
                              </w:divBdr>
                              <w:divsChild>
                                <w:div w:id="1748183002">
                                  <w:marLeft w:val="0"/>
                                  <w:marRight w:val="0"/>
                                  <w:marTop w:val="0"/>
                                  <w:marBottom w:val="0"/>
                                  <w:divBdr>
                                    <w:top w:val="single" w:sz="6" w:space="11" w:color="96191D"/>
                                    <w:left w:val="single" w:sz="6" w:space="11" w:color="96191D"/>
                                    <w:bottom w:val="single" w:sz="6" w:space="11" w:color="96191D"/>
                                    <w:right w:val="single" w:sz="6" w:space="11" w:color="96191D"/>
                                  </w:divBdr>
                                  <w:divsChild>
                                    <w:div w:id="628434532">
                                      <w:marLeft w:val="0"/>
                                      <w:marRight w:val="0"/>
                                      <w:marTop w:val="0"/>
                                      <w:marBottom w:val="0"/>
                                      <w:divBdr>
                                        <w:top w:val="none" w:sz="0" w:space="0" w:color="auto"/>
                                        <w:left w:val="none" w:sz="0" w:space="0" w:color="auto"/>
                                        <w:bottom w:val="none" w:sz="0" w:space="0" w:color="auto"/>
                                        <w:right w:val="none" w:sz="0" w:space="0" w:color="auto"/>
                                      </w:divBdr>
                                      <w:divsChild>
                                        <w:div w:id="155538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0309526">
      <w:bodyDiv w:val="1"/>
      <w:marLeft w:val="0"/>
      <w:marRight w:val="0"/>
      <w:marTop w:val="0"/>
      <w:marBottom w:val="0"/>
      <w:divBdr>
        <w:top w:val="none" w:sz="0" w:space="0" w:color="auto"/>
        <w:left w:val="none" w:sz="0" w:space="0" w:color="auto"/>
        <w:bottom w:val="none" w:sz="0" w:space="0" w:color="auto"/>
        <w:right w:val="none" w:sz="0" w:space="0" w:color="auto"/>
      </w:divBdr>
      <w:divsChild>
        <w:div w:id="370808089">
          <w:marLeft w:val="0"/>
          <w:marRight w:val="0"/>
          <w:marTop w:val="0"/>
          <w:marBottom w:val="0"/>
          <w:divBdr>
            <w:top w:val="none" w:sz="0" w:space="0" w:color="auto"/>
            <w:left w:val="none" w:sz="0" w:space="0" w:color="auto"/>
            <w:bottom w:val="none" w:sz="0" w:space="0" w:color="auto"/>
            <w:right w:val="none" w:sz="0" w:space="0" w:color="auto"/>
          </w:divBdr>
          <w:divsChild>
            <w:div w:id="2088071804">
              <w:marLeft w:val="0"/>
              <w:marRight w:val="0"/>
              <w:marTop w:val="0"/>
              <w:marBottom w:val="0"/>
              <w:divBdr>
                <w:top w:val="none" w:sz="0" w:space="0" w:color="auto"/>
                <w:left w:val="none" w:sz="0" w:space="0" w:color="auto"/>
                <w:bottom w:val="none" w:sz="0" w:space="0" w:color="auto"/>
                <w:right w:val="none" w:sz="0" w:space="0" w:color="auto"/>
              </w:divBdr>
              <w:divsChild>
                <w:div w:id="614561777">
                  <w:marLeft w:val="0"/>
                  <w:marRight w:val="0"/>
                  <w:marTop w:val="0"/>
                  <w:marBottom w:val="0"/>
                  <w:divBdr>
                    <w:top w:val="none" w:sz="0" w:space="0" w:color="auto"/>
                    <w:left w:val="none" w:sz="0" w:space="0" w:color="auto"/>
                    <w:bottom w:val="none" w:sz="0" w:space="0" w:color="auto"/>
                    <w:right w:val="none" w:sz="0" w:space="0" w:color="auto"/>
                  </w:divBdr>
                  <w:divsChild>
                    <w:div w:id="1089544732">
                      <w:marLeft w:val="0"/>
                      <w:marRight w:val="0"/>
                      <w:marTop w:val="0"/>
                      <w:marBottom w:val="0"/>
                      <w:divBdr>
                        <w:top w:val="none" w:sz="0" w:space="0" w:color="auto"/>
                        <w:left w:val="none" w:sz="0" w:space="0" w:color="auto"/>
                        <w:bottom w:val="none" w:sz="0" w:space="0" w:color="auto"/>
                        <w:right w:val="none" w:sz="0" w:space="0" w:color="auto"/>
                      </w:divBdr>
                      <w:divsChild>
                        <w:div w:id="1865903056">
                          <w:marLeft w:val="0"/>
                          <w:marRight w:val="0"/>
                          <w:marTop w:val="0"/>
                          <w:marBottom w:val="0"/>
                          <w:divBdr>
                            <w:top w:val="none" w:sz="0" w:space="0" w:color="auto"/>
                            <w:left w:val="none" w:sz="0" w:space="0" w:color="auto"/>
                            <w:bottom w:val="none" w:sz="0" w:space="0" w:color="auto"/>
                            <w:right w:val="none" w:sz="0" w:space="0" w:color="auto"/>
                          </w:divBdr>
                          <w:divsChild>
                            <w:div w:id="898831381">
                              <w:marLeft w:val="0"/>
                              <w:marRight w:val="0"/>
                              <w:marTop w:val="0"/>
                              <w:marBottom w:val="0"/>
                              <w:divBdr>
                                <w:top w:val="none" w:sz="0" w:space="0" w:color="auto"/>
                                <w:left w:val="none" w:sz="0" w:space="0" w:color="auto"/>
                                <w:bottom w:val="none" w:sz="0" w:space="0" w:color="auto"/>
                                <w:right w:val="none" w:sz="0" w:space="0" w:color="auto"/>
                              </w:divBdr>
                              <w:divsChild>
                                <w:div w:id="1097750509">
                                  <w:marLeft w:val="0"/>
                                  <w:marRight w:val="0"/>
                                  <w:marTop w:val="0"/>
                                  <w:marBottom w:val="0"/>
                                  <w:divBdr>
                                    <w:top w:val="single" w:sz="6" w:space="11" w:color="96191D"/>
                                    <w:left w:val="single" w:sz="6" w:space="11" w:color="96191D"/>
                                    <w:bottom w:val="single" w:sz="6" w:space="11" w:color="96191D"/>
                                    <w:right w:val="single" w:sz="6" w:space="11" w:color="96191D"/>
                                  </w:divBdr>
                                  <w:divsChild>
                                    <w:div w:id="726225911">
                                      <w:marLeft w:val="0"/>
                                      <w:marRight w:val="0"/>
                                      <w:marTop w:val="0"/>
                                      <w:marBottom w:val="0"/>
                                      <w:divBdr>
                                        <w:top w:val="none" w:sz="0" w:space="0" w:color="auto"/>
                                        <w:left w:val="none" w:sz="0" w:space="0" w:color="auto"/>
                                        <w:bottom w:val="none" w:sz="0" w:space="0" w:color="auto"/>
                                        <w:right w:val="none" w:sz="0" w:space="0" w:color="auto"/>
                                      </w:divBdr>
                                      <w:divsChild>
                                        <w:div w:id="105631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nfpa.org/research/fire-protection-research-foundation/projects-reports-and-proceedings/electrical-safety/other/occupational-injuries-from-electrical-shock-and-arc-flash-events" TargetMode="External"/><Relationship Id="rId18" Type="http://schemas.openxmlformats.org/officeDocument/2006/relationships/hyperlink" Target="https://www.osha.gov/pls/oshaweb/owadisp.show_document?p_table=STANDARDS&amp;p_id=9910%20%20%20" TargetMode="External"/><Relationship Id="rId3" Type="http://schemas.openxmlformats.org/officeDocument/2006/relationships/customXml" Target="../customXml/item3.xml"/><Relationship Id="rId21" Type="http://schemas.openxmlformats.org/officeDocument/2006/relationships/hyperlink" Target="http://faitherm.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osha.gov/pls/oshaweb/owadisp.show_document?p_table=standards&amp;p_id=9777"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osha.gov/pls/oshaweb/owadisp.show_document%3Fp_id%3D9804%26p_table%3DSTANDARDS" TargetMode="External"/><Relationship Id="rId20" Type="http://schemas.openxmlformats.org/officeDocument/2006/relationships/hyperlink" Target="http://www.nfpa.org/codes-and-standards/document-information-pages?mode=code&amp;code=70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osha.gov/pls/oshaweb/owadisp.show_document?p_id=9912&amp;p_table=STANDARDS" TargetMode="External"/><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www.osha.gov/pls/oshaweb/owadisp.show_document?p_id=9912&amp;p_table=STANDARD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osha.gov/pls/oshaweb/owadisp.show_document?p_table=STANDARDS&amp;p_id=9908" TargetMode="External"/><Relationship Id="rId22" Type="http://schemas.openxmlformats.org/officeDocument/2006/relationships/hyperlink" Target="http://www.nfpa.org/codes-and-standards/document-information-pages?mode=code&amp;code=70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90960F799608D40B268EF362136E472" ma:contentTypeVersion="2" ma:contentTypeDescription="Create a new document." ma:contentTypeScope="" ma:versionID="1d34369d82875d4fefc459324214a2cf">
  <xsd:schema xmlns:xsd="http://www.w3.org/2001/XMLSchema" xmlns:xs="http://www.w3.org/2001/XMLSchema" xmlns:p="http://schemas.microsoft.com/office/2006/metadata/properties" xmlns:ns1="http://schemas.microsoft.com/sharepoint/v3" xmlns:ns2="bb65cc95-6d4e-4879-a879-9838761499af" xmlns:ns3="9e30f06f-ad7a-453a-8e08-8a8878e30bd1" targetNamespace="http://schemas.microsoft.com/office/2006/metadata/properties" ma:root="true" ma:fieldsID="1ddba191fe32f271881202d863abdb77" ns1:_="" ns2:_="" ns3:_="">
    <xsd:import namespace="http://schemas.microsoft.com/sharepoint/v3"/>
    <xsd:import namespace="bb65cc95-6d4e-4879-a879-9838761499af"/>
    <xsd:import namespace="9e30f06f-ad7a-453a-8e08-8a8878e30bd1"/>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Division" minOccurs="0"/>
                <xsd:element ref="ns3:Document_x0020_Yea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b65cc95-6d4e-4879-a879-9838761499a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e30f06f-ad7a-453a-8e08-8a8878e30bd1" elementFormDefault="qualified">
    <xsd:import namespace="http://schemas.microsoft.com/office/2006/documentManagement/types"/>
    <xsd:import namespace="http://schemas.microsoft.com/office/infopath/2007/PartnerControls"/>
    <xsd:element name="Division" ma:index="13" nillable="true" ma:displayName="Division" ma:default="Unspecified" ma:description="DOA division" ma:format="RadioButtons" ma:internalName="Division">
      <xsd:simpleType>
        <xsd:restriction base="dms:Choice">
          <xsd:enumeration value="CPD"/>
          <xsd:enumeration value="DEBF"/>
          <xsd:enumeration value="DEHCR"/>
          <xsd:enumeration value="DEO"/>
          <xsd:enumeration value="DET"/>
          <xsd:enumeration value="DFD"/>
          <xsd:enumeration value="DFM"/>
          <xsd:enumeration value="DHA"/>
          <xsd:enumeration value="DIR"/>
          <xsd:enumeration value="DPM"/>
          <xsd:enumeration value="Gaming"/>
          <xsd:enumeration value="Legal"/>
          <xsd:enumeration value="SECY"/>
          <xsd:enumeration value="STAR"/>
          <xsd:enumeration value="Unspecified"/>
        </xsd:restriction>
      </xsd:simpleType>
    </xsd:element>
    <xsd:element name="Document_x0020_Year" ma:index="14" nillable="true" ma:displayName="Document Year" ma:description="Optional column for document year" ma:internalName="Document_x0020_Year">
      <xsd:simpleType>
        <xsd:restriction base="dms:Text">
          <xsd:maxLength value="255"/>
        </xsd:restriction>
      </xsd:simpleType>
    </xsd:element>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Document_x0020_Year xmlns="9e30f06f-ad7a-453a-8e08-8a8878e30bd1" xsi:nil="true"/>
    <Division xmlns="9e30f06f-ad7a-453a-8e08-8a8878e30bd1">DEO</Division>
    <PublishingExpirationDate xmlns="http://schemas.microsoft.com/sharepoint/v3" xsi:nil="true"/>
    <PublishingStartDate xmlns="http://schemas.microsoft.com/sharepoint/v3" xsi:nil="true"/>
    <_dlc_DocId xmlns="bb65cc95-6d4e-4879-a879-9838761499af">33E6D4FPPFNA-601411507-2732</_dlc_DocId>
    <_dlc_DocIdUrl xmlns="bb65cc95-6d4e-4879-a879-9838761499af">
      <Url>https://doa-auth-prod.wi.gov/_layouts/15/DocIdRedir.aspx?ID=33E6D4FPPFNA-601411507-2732</Url>
      <Description>33E6D4FPPFNA-601411507-2732</Description>
    </_dlc_DocIdUrl>
  </documentManagement>
</p:properties>
</file>

<file path=customXml/itemProps1.xml><?xml version="1.0" encoding="utf-8"?>
<ds:datastoreItem xmlns:ds="http://schemas.openxmlformats.org/officeDocument/2006/customXml" ds:itemID="{2152486B-894E-4221-8DBA-41E595CD85A7}">
  <ds:schemaRefs>
    <ds:schemaRef ds:uri="http://schemas.openxmlformats.org/officeDocument/2006/bibliography"/>
  </ds:schemaRefs>
</ds:datastoreItem>
</file>

<file path=customXml/itemProps2.xml><?xml version="1.0" encoding="utf-8"?>
<ds:datastoreItem xmlns:ds="http://schemas.openxmlformats.org/officeDocument/2006/customXml" ds:itemID="{83F6A434-C9DC-4AFE-8CDD-BD183B5FD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65cc95-6d4e-4879-a879-9838761499af"/>
    <ds:schemaRef ds:uri="9e30f06f-ad7a-453a-8e08-8a8878e30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25F955-2520-49AE-A05F-9ECE9FFEA631}">
  <ds:schemaRefs>
    <ds:schemaRef ds:uri="http://schemas.microsoft.com/office/2006/metadata/longProperties"/>
  </ds:schemaRefs>
</ds:datastoreItem>
</file>

<file path=customXml/itemProps4.xml><?xml version="1.0" encoding="utf-8"?>
<ds:datastoreItem xmlns:ds="http://schemas.openxmlformats.org/officeDocument/2006/customXml" ds:itemID="{BC252DB8-BC0C-410C-876C-FE3660E1C563}">
  <ds:schemaRefs>
    <ds:schemaRef ds:uri="http://schemas.microsoft.com/sharepoint/events"/>
  </ds:schemaRefs>
</ds:datastoreItem>
</file>

<file path=customXml/itemProps5.xml><?xml version="1.0" encoding="utf-8"?>
<ds:datastoreItem xmlns:ds="http://schemas.openxmlformats.org/officeDocument/2006/customXml" ds:itemID="{215C83CC-8922-4D80-A7B5-1DE85BDD891A}">
  <ds:schemaRefs>
    <ds:schemaRef ds:uri="http://schemas.microsoft.com/sharepoint/v3/contenttype/forms"/>
  </ds:schemaRefs>
</ds:datastoreItem>
</file>

<file path=customXml/itemProps6.xml><?xml version="1.0" encoding="utf-8"?>
<ds:datastoreItem xmlns:ds="http://schemas.openxmlformats.org/officeDocument/2006/customXml" ds:itemID="{E4466354-0DFA-4768-9282-09AD4E3B6BF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2158</Words>
  <Characters>12307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NFPA 70E Compliance Specialists</vt:lpstr>
    </vt:vector>
  </TitlesOfParts>
  <Company>Faith Technologies</Company>
  <LinksUpToDate>false</LinksUpToDate>
  <CharactersWithSpaces>14437</CharactersWithSpaces>
  <SharedDoc>false</SharedDoc>
  <HLinks>
    <vt:vector size="60" baseType="variant">
      <vt:variant>
        <vt:i4>5373959</vt:i4>
      </vt:variant>
      <vt:variant>
        <vt:i4>27</vt:i4>
      </vt:variant>
      <vt:variant>
        <vt:i4>0</vt:i4>
      </vt:variant>
      <vt:variant>
        <vt:i4>5</vt:i4>
      </vt:variant>
      <vt:variant>
        <vt:lpwstr>http://www.nfpa.org/codes-and-standards/document-information-pages?mode=code&amp;code=70B</vt:lpwstr>
      </vt:variant>
      <vt:variant>
        <vt:lpwstr/>
      </vt:variant>
      <vt:variant>
        <vt:i4>5242906</vt:i4>
      </vt:variant>
      <vt:variant>
        <vt:i4>24</vt:i4>
      </vt:variant>
      <vt:variant>
        <vt:i4>0</vt:i4>
      </vt:variant>
      <vt:variant>
        <vt:i4>5</vt:i4>
      </vt:variant>
      <vt:variant>
        <vt:lpwstr>http://faitherm.com/</vt:lpwstr>
      </vt:variant>
      <vt:variant>
        <vt:lpwstr/>
      </vt:variant>
      <vt:variant>
        <vt:i4>5373959</vt:i4>
      </vt:variant>
      <vt:variant>
        <vt:i4>21</vt:i4>
      </vt:variant>
      <vt:variant>
        <vt:i4>0</vt:i4>
      </vt:variant>
      <vt:variant>
        <vt:i4>5</vt:i4>
      </vt:variant>
      <vt:variant>
        <vt:lpwstr>http://www.nfpa.org/codes-and-standards/document-information-pages?mode=code&amp;code=70E</vt:lpwstr>
      </vt:variant>
      <vt:variant>
        <vt:lpwstr/>
      </vt:variant>
      <vt:variant>
        <vt:i4>6160445</vt:i4>
      </vt:variant>
      <vt:variant>
        <vt:i4>18</vt:i4>
      </vt:variant>
      <vt:variant>
        <vt:i4>0</vt:i4>
      </vt:variant>
      <vt:variant>
        <vt:i4>5</vt:i4>
      </vt:variant>
      <vt:variant>
        <vt:lpwstr>https://www.osha.gov/pls/oshaweb/owadisp.show_document?p_id=9912&amp;p_table=STANDARDS</vt:lpwstr>
      </vt:variant>
      <vt:variant>
        <vt:lpwstr/>
      </vt:variant>
      <vt:variant>
        <vt:i4>4784191</vt:i4>
      </vt:variant>
      <vt:variant>
        <vt:i4>15</vt:i4>
      </vt:variant>
      <vt:variant>
        <vt:i4>0</vt:i4>
      </vt:variant>
      <vt:variant>
        <vt:i4>5</vt:i4>
      </vt:variant>
      <vt:variant>
        <vt:lpwstr>https://www.osha.gov/pls/oshaweb/owadisp.show_document?p_table=STANDARDS&amp;p_id=9910%20%20%20</vt:lpwstr>
      </vt:variant>
      <vt:variant>
        <vt:lpwstr/>
      </vt:variant>
      <vt:variant>
        <vt:i4>5570619</vt:i4>
      </vt:variant>
      <vt:variant>
        <vt:i4>12</vt:i4>
      </vt:variant>
      <vt:variant>
        <vt:i4>0</vt:i4>
      </vt:variant>
      <vt:variant>
        <vt:i4>5</vt:i4>
      </vt:variant>
      <vt:variant>
        <vt:lpwstr>https://www.osha.gov/pls/oshaweb/owadisp.show_document?p_table=standards&amp;p_id=9777</vt:lpwstr>
      </vt:variant>
      <vt:variant>
        <vt:lpwstr/>
      </vt:variant>
      <vt:variant>
        <vt:i4>1507386</vt:i4>
      </vt:variant>
      <vt:variant>
        <vt:i4>9</vt:i4>
      </vt:variant>
      <vt:variant>
        <vt:i4>0</vt:i4>
      </vt:variant>
      <vt:variant>
        <vt:i4>65541</vt:i4>
      </vt:variant>
      <vt:variant>
        <vt:lpwstr>https://www.osha.gov/pls/oshaweb/owadisp.show_document%253Fp_id%253D9804%2526p_table%253DSTANDARDS</vt:lpwstr>
      </vt:variant>
      <vt:variant>
        <vt:lpwstr/>
      </vt:variant>
      <vt:variant>
        <vt:i4>6160445</vt:i4>
      </vt:variant>
      <vt:variant>
        <vt:i4>6</vt:i4>
      </vt:variant>
      <vt:variant>
        <vt:i4>0</vt:i4>
      </vt:variant>
      <vt:variant>
        <vt:i4>5</vt:i4>
      </vt:variant>
      <vt:variant>
        <vt:lpwstr>https://www.osha.gov/pls/oshaweb/owadisp.show_document?p_id=9912&amp;p_table=STANDARDS</vt:lpwstr>
      </vt:variant>
      <vt:variant>
        <vt:lpwstr/>
      </vt:variant>
      <vt:variant>
        <vt:i4>5505084</vt:i4>
      </vt:variant>
      <vt:variant>
        <vt:i4>3</vt:i4>
      </vt:variant>
      <vt:variant>
        <vt:i4>0</vt:i4>
      </vt:variant>
      <vt:variant>
        <vt:i4>5</vt:i4>
      </vt:variant>
      <vt:variant>
        <vt:lpwstr>https://www.osha.gov/pls/oshaweb/owadisp.show_document?p_table=STANDARDS&amp;p_id=9908</vt:lpwstr>
      </vt:variant>
      <vt:variant>
        <vt:lpwstr/>
      </vt:variant>
      <vt:variant>
        <vt:i4>2228265</vt:i4>
      </vt:variant>
      <vt:variant>
        <vt:i4>0</vt:i4>
      </vt:variant>
      <vt:variant>
        <vt:i4>0</vt:i4>
      </vt:variant>
      <vt:variant>
        <vt:i4>5</vt:i4>
      </vt:variant>
      <vt:variant>
        <vt:lpwstr>http://www.nfpa.org/research/fire-protection-research-foundation/projects-reports-and-proceedings/electrical-safety/other/occupational-injuries-from-electrical-shock-and-arc-flash-events</vt:lpwstr>
      </vt:variant>
      <vt:variant>
        <vt:lpwstr/>
      </vt:variant>
    </vt:vector>
  </HLinks>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NFPA 70E Compliance Specialists</dc:title>
  <dc:subject/>
  <dc:creator>BDownie</dc:creator>
  <cp:keywords/>
  <cp:lastModifiedBy>Hastert, Kathryn M - DOA</cp:lastModifiedBy>
  <cp:revision>2</cp:revision>
  <cp:lastPrinted>2014-11-10T13:42:00Z</cp:lastPrinted>
  <dcterms:created xsi:type="dcterms:W3CDTF">2026-02-13T20:45:00Z</dcterms:created>
  <dcterms:modified xsi:type="dcterms:W3CDTF">2026-02-13T20:45:00Z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33E6D4FPPFNA-601411507-1615</vt:lpwstr>
  </property>
  <property fmtid="{D5CDD505-2E9C-101B-9397-08002B2CF9AE}" pid="3" name="_dlc_DocIdItemGuid">
    <vt:lpwstr>56b84446-98f9-4d1d-97e1-c86a63082d59</vt:lpwstr>
  </property>
  <property fmtid="{D5CDD505-2E9C-101B-9397-08002B2CF9AE}" pid="4" name="_dlc_DocIdUrl">
    <vt:lpwstr>https://doa.wi.gov/_layouts/15/DocIdRedir.aspx?ID=33E6D4FPPFNA-601411507-1615, 33E6D4FPPFNA-601411507-1615</vt:lpwstr>
  </property>
  <property fmtid="{D5CDD505-2E9C-101B-9397-08002B2CF9AE}" pid="5" name="ContentTypeId">
    <vt:lpwstr>0x010100890960F799608D40B268EF362136E472</vt:lpwstr>
  </property>
</Properties>
</file>