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F8" w:rsidRDefault="00D271F8" w:rsidP="00282615">
      <w:pPr>
        <w:pStyle w:val="NoSpacing"/>
        <w:jc w:val="center"/>
        <w:rPr>
          <w:rFonts w:ascii="Arial" w:hAnsi="Arial" w:cs="Arial"/>
          <w:b/>
          <w:sz w:val="24"/>
          <w:szCs w:val="24"/>
        </w:rPr>
      </w:pPr>
      <w:bookmarkStart w:id="0" w:name="_GoBack"/>
      <w:bookmarkEnd w:id="0"/>
    </w:p>
    <w:p w:rsidR="00282615" w:rsidRPr="003B7187" w:rsidRDefault="00282615" w:rsidP="00282615">
      <w:pPr>
        <w:pStyle w:val="NoSpacing"/>
        <w:jc w:val="center"/>
        <w:rPr>
          <w:rFonts w:ascii="Arial" w:hAnsi="Arial" w:cs="Arial"/>
          <w:b/>
          <w:sz w:val="24"/>
          <w:szCs w:val="24"/>
        </w:rPr>
      </w:pPr>
      <w:r w:rsidRPr="003B7187">
        <w:rPr>
          <w:rFonts w:ascii="Arial" w:hAnsi="Arial" w:cs="Arial"/>
          <w:b/>
          <w:sz w:val="24"/>
          <w:szCs w:val="24"/>
        </w:rPr>
        <w:t>SECTION IV.</w:t>
      </w:r>
      <w:r w:rsidR="00D271F8">
        <w:rPr>
          <w:rFonts w:ascii="Arial" w:hAnsi="Arial" w:cs="Arial"/>
          <w:b/>
          <w:sz w:val="24"/>
          <w:szCs w:val="24"/>
        </w:rPr>
        <w:t xml:space="preserve"> </w:t>
      </w:r>
      <w:r w:rsidRPr="003B7187">
        <w:rPr>
          <w:rFonts w:ascii="Arial" w:hAnsi="Arial" w:cs="Arial"/>
          <w:b/>
          <w:sz w:val="24"/>
          <w:szCs w:val="24"/>
        </w:rPr>
        <w:t xml:space="preserve"> HOME HHR GENERAL ADMINISTRATIVE REQUIREMENTS</w:t>
      </w:r>
    </w:p>
    <w:p w:rsidR="00282615" w:rsidRPr="00282615" w:rsidRDefault="00282615" w:rsidP="00282615">
      <w:pPr>
        <w:pStyle w:val="NoSpacing"/>
        <w:rPr>
          <w:rFonts w:ascii="Arial" w:hAnsi="Arial" w:cs="Arial"/>
        </w:rPr>
      </w:pPr>
    </w:p>
    <w:p w:rsidR="00282615" w:rsidRPr="00282615" w:rsidRDefault="00282615" w:rsidP="00282615">
      <w:pPr>
        <w:pStyle w:val="NoSpacing"/>
        <w:jc w:val="center"/>
        <w:rPr>
          <w:rFonts w:ascii="Arial" w:hAnsi="Arial" w:cs="Arial"/>
        </w:rPr>
      </w:pPr>
      <w:r w:rsidRPr="00282615">
        <w:rPr>
          <w:rFonts w:ascii="Arial" w:hAnsi="Arial" w:cs="Arial"/>
        </w:rPr>
        <w:t>Table of Contents</w:t>
      </w:r>
    </w:p>
    <w:p w:rsidR="00282615" w:rsidRPr="00282615" w:rsidRDefault="00282615" w:rsidP="00282615">
      <w:pPr>
        <w:pStyle w:val="NoSpacing"/>
        <w:rPr>
          <w:rFonts w:ascii="Arial" w:hAnsi="Arial" w:cs="Arial"/>
        </w:rPr>
      </w:pPr>
    </w:p>
    <w:p w:rsidR="00282615" w:rsidRPr="00282615" w:rsidRDefault="00282615" w:rsidP="00282615">
      <w:pPr>
        <w:pStyle w:val="NoSpacing"/>
        <w:ind w:right="360"/>
        <w:jc w:val="right"/>
        <w:rPr>
          <w:rFonts w:ascii="Arial" w:hAnsi="Arial" w:cs="Arial"/>
          <w:u w:val="single"/>
        </w:rPr>
      </w:pPr>
      <w:r w:rsidRPr="00282615">
        <w:rPr>
          <w:rFonts w:ascii="Arial" w:hAnsi="Arial" w:cs="Arial"/>
          <w:u w:val="single"/>
        </w:rPr>
        <w:t>Page</w:t>
      </w:r>
    </w:p>
    <w:p w:rsidR="00282615" w:rsidRPr="00282615" w:rsidRDefault="00282615" w:rsidP="00282615">
      <w:pPr>
        <w:pStyle w:val="NoSpacing"/>
        <w:rPr>
          <w:rFonts w:ascii="Arial" w:hAnsi="Arial" w:cs="Arial"/>
          <w:u w:val="single"/>
        </w:rPr>
      </w:pPr>
    </w:p>
    <w:p w:rsidR="00282615" w:rsidRPr="00282615" w:rsidRDefault="00282615" w:rsidP="00282615">
      <w:pPr>
        <w:pStyle w:val="NoSpacing"/>
        <w:rPr>
          <w:rFonts w:ascii="Arial" w:hAnsi="Arial" w:cs="Arial"/>
        </w:rPr>
      </w:pPr>
      <w:r w:rsidRPr="00282615">
        <w:rPr>
          <w:rFonts w:ascii="Arial" w:hAnsi="Arial" w:cs="Arial"/>
        </w:rPr>
        <w:t>A.  Background…………………………………………………………………………………</w:t>
      </w:r>
      <w:r>
        <w:rPr>
          <w:rFonts w:ascii="Arial" w:hAnsi="Arial" w:cs="Arial"/>
        </w:rPr>
        <w:t>.</w:t>
      </w:r>
      <w:r>
        <w:rPr>
          <w:rFonts w:ascii="Arial" w:hAnsi="Arial" w:cs="Arial"/>
        </w:rPr>
        <w:tab/>
      </w:r>
      <w:r w:rsidRPr="00282615">
        <w:rPr>
          <w:rFonts w:ascii="Arial" w:hAnsi="Arial" w:cs="Arial"/>
        </w:rPr>
        <w:t>IV-1</w:t>
      </w:r>
    </w:p>
    <w:p w:rsidR="00282615" w:rsidRPr="00282615" w:rsidRDefault="00282615" w:rsidP="00282615">
      <w:pPr>
        <w:pStyle w:val="NoSpacing"/>
        <w:rPr>
          <w:rFonts w:ascii="Arial" w:hAnsi="Arial" w:cs="Arial"/>
        </w:rPr>
      </w:pPr>
      <w:r w:rsidRPr="00282615">
        <w:rPr>
          <w:rFonts w:ascii="Arial" w:hAnsi="Arial" w:cs="Arial"/>
        </w:rPr>
        <w:t>B.  Eligible Administrative and Planning Costs</w:t>
      </w:r>
      <w:r>
        <w:rPr>
          <w:rFonts w:ascii="Arial" w:hAnsi="Arial" w:cs="Arial"/>
        </w:rPr>
        <w:t>................................................................</w:t>
      </w:r>
      <w:r>
        <w:rPr>
          <w:rFonts w:ascii="Arial" w:hAnsi="Arial" w:cs="Arial"/>
        </w:rPr>
        <w:tab/>
      </w:r>
      <w:r w:rsidRPr="00282615">
        <w:rPr>
          <w:rFonts w:ascii="Arial" w:hAnsi="Arial" w:cs="Arial"/>
        </w:rPr>
        <w:t>IV-1</w:t>
      </w:r>
    </w:p>
    <w:p w:rsidR="00282615" w:rsidRPr="00282615" w:rsidRDefault="00282615" w:rsidP="00282615">
      <w:pPr>
        <w:pStyle w:val="NoSpacing"/>
        <w:rPr>
          <w:rFonts w:ascii="Arial" w:hAnsi="Arial" w:cs="Arial"/>
        </w:rPr>
      </w:pPr>
      <w:r w:rsidRPr="00282615">
        <w:rPr>
          <w:rFonts w:ascii="Arial" w:hAnsi="Arial" w:cs="Arial"/>
        </w:rPr>
        <w:t>C.  Acti</w:t>
      </w:r>
      <w:r>
        <w:rPr>
          <w:rFonts w:ascii="Arial" w:hAnsi="Arial" w:cs="Arial"/>
        </w:rPr>
        <w:t>vity Related Soft Costs………………………………………………………………..</w:t>
      </w:r>
      <w:r>
        <w:rPr>
          <w:rFonts w:ascii="Arial" w:hAnsi="Arial" w:cs="Arial"/>
        </w:rPr>
        <w:tab/>
      </w:r>
      <w:r w:rsidRPr="00282615">
        <w:rPr>
          <w:rFonts w:ascii="Arial" w:hAnsi="Arial" w:cs="Arial"/>
        </w:rPr>
        <w:t>IV-2</w:t>
      </w:r>
    </w:p>
    <w:p w:rsidR="00282615" w:rsidRPr="00282615" w:rsidRDefault="00282615" w:rsidP="00282615">
      <w:pPr>
        <w:pStyle w:val="NoSpacing"/>
        <w:rPr>
          <w:rFonts w:ascii="Arial" w:hAnsi="Arial" w:cs="Arial"/>
        </w:rPr>
      </w:pPr>
      <w:r w:rsidRPr="00282615">
        <w:rPr>
          <w:rFonts w:ascii="Arial" w:hAnsi="Arial" w:cs="Arial"/>
        </w:rPr>
        <w:t>D.  Administrativ</w:t>
      </w:r>
      <w:r w:rsidR="00C1232C">
        <w:rPr>
          <w:rFonts w:ascii="Arial" w:hAnsi="Arial" w:cs="Arial"/>
        </w:rPr>
        <w:t>e o</w:t>
      </w:r>
      <w:r>
        <w:rPr>
          <w:rFonts w:ascii="Arial" w:hAnsi="Arial" w:cs="Arial"/>
        </w:rPr>
        <w:t>r Activity-Related Soft Costs…………………………………………..</w:t>
      </w:r>
      <w:r w:rsidRPr="00282615">
        <w:rPr>
          <w:rFonts w:ascii="Arial" w:hAnsi="Arial" w:cs="Arial"/>
        </w:rPr>
        <w:t xml:space="preserve">  </w:t>
      </w:r>
      <w:r w:rsidRPr="00282615">
        <w:rPr>
          <w:rFonts w:ascii="Arial" w:hAnsi="Arial" w:cs="Arial"/>
        </w:rPr>
        <w:tab/>
        <w:t>IV-3</w:t>
      </w:r>
    </w:p>
    <w:p w:rsidR="00282615" w:rsidRPr="00282615" w:rsidRDefault="00282615" w:rsidP="00282615">
      <w:pPr>
        <w:pStyle w:val="NoSpacing"/>
        <w:rPr>
          <w:rFonts w:ascii="Arial" w:hAnsi="Arial" w:cs="Arial"/>
        </w:rPr>
      </w:pPr>
      <w:r w:rsidRPr="00282615">
        <w:rPr>
          <w:rFonts w:ascii="Arial" w:hAnsi="Arial" w:cs="Arial"/>
        </w:rPr>
        <w:t>E.  Non-allowable Activity-Related Cost</w:t>
      </w:r>
      <w:r>
        <w:rPr>
          <w:rFonts w:ascii="Arial" w:hAnsi="Arial" w:cs="Arial"/>
        </w:rPr>
        <w:t>……………………………………………………..</w:t>
      </w:r>
      <w:r w:rsidRPr="00282615">
        <w:rPr>
          <w:rFonts w:ascii="Arial" w:hAnsi="Arial" w:cs="Arial"/>
        </w:rPr>
        <w:t xml:space="preserve">  </w:t>
      </w:r>
      <w:r w:rsidRPr="00282615">
        <w:rPr>
          <w:rFonts w:ascii="Arial" w:hAnsi="Arial" w:cs="Arial"/>
        </w:rPr>
        <w:tab/>
        <w:t>IV-3</w:t>
      </w:r>
    </w:p>
    <w:p w:rsidR="00282615" w:rsidRPr="00282615" w:rsidRDefault="00282615" w:rsidP="00282615">
      <w:pPr>
        <w:pStyle w:val="NoSpacing"/>
        <w:rPr>
          <w:rFonts w:ascii="Arial" w:hAnsi="Arial" w:cs="Arial"/>
        </w:rPr>
      </w:pPr>
      <w:r w:rsidRPr="00282615">
        <w:rPr>
          <w:rFonts w:ascii="Arial" w:hAnsi="Arial" w:cs="Arial"/>
        </w:rPr>
        <w:t>F.  Project Soft Costs Charged to Client (Property Owner)</w:t>
      </w:r>
      <w:r>
        <w:rPr>
          <w:rFonts w:ascii="Arial" w:hAnsi="Arial" w:cs="Arial"/>
        </w:rPr>
        <w:t>………………………………..</w:t>
      </w:r>
      <w:r w:rsidRPr="00282615">
        <w:rPr>
          <w:rFonts w:ascii="Arial" w:hAnsi="Arial" w:cs="Arial"/>
        </w:rPr>
        <w:t xml:space="preserve">  </w:t>
      </w:r>
      <w:r w:rsidRPr="00282615">
        <w:rPr>
          <w:rFonts w:ascii="Arial" w:hAnsi="Arial" w:cs="Arial"/>
        </w:rPr>
        <w:tab/>
        <w:t>IV-4</w:t>
      </w:r>
    </w:p>
    <w:p w:rsidR="00282615" w:rsidRPr="00282615" w:rsidRDefault="00282615" w:rsidP="00282615">
      <w:pPr>
        <w:pStyle w:val="NoSpacing"/>
        <w:rPr>
          <w:rFonts w:ascii="Arial" w:hAnsi="Arial" w:cs="Arial"/>
        </w:rPr>
      </w:pPr>
      <w:r w:rsidRPr="00282615">
        <w:rPr>
          <w:rFonts w:ascii="Arial" w:hAnsi="Arial" w:cs="Arial"/>
        </w:rPr>
        <w:t xml:space="preserve">G. </w:t>
      </w:r>
      <w:r>
        <w:rPr>
          <w:rFonts w:ascii="Arial" w:hAnsi="Arial" w:cs="Arial"/>
        </w:rPr>
        <w:t>Program Income…………………………………………………………………………….</w:t>
      </w:r>
      <w:r w:rsidRPr="00282615">
        <w:rPr>
          <w:rFonts w:ascii="Arial" w:hAnsi="Arial" w:cs="Arial"/>
        </w:rPr>
        <w:t xml:space="preserve">  </w:t>
      </w:r>
      <w:r w:rsidRPr="00282615">
        <w:rPr>
          <w:rFonts w:ascii="Arial" w:hAnsi="Arial" w:cs="Arial"/>
        </w:rPr>
        <w:tab/>
        <w:t>IV-4</w:t>
      </w:r>
    </w:p>
    <w:p w:rsidR="00282615" w:rsidRPr="00282615" w:rsidRDefault="00282615" w:rsidP="00282615">
      <w:pPr>
        <w:pStyle w:val="NoSpacing"/>
        <w:rPr>
          <w:rFonts w:ascii="Arial" w:hAnsi="Arial" w:cs="Arial"/>
        </w:rPr>
      </w:pPr>
      <w:r w:rsidRPr="00282615">
        <w:rPr>
          <w:rFonts w:ascii="Arial" w:hAnsi="Arial" w:cs="Arial"/>
        </w:rPr>
        <w:t>H. Community Housing Development Organization</w:t>
      </w:r>
      <w:r>
        <w:rPr>
          <w:rFonts w:ascii="Arial" w:hAnsi="Arial" w:cs="Arial"/>
        </w:rPr>
        <w:t xml:space="preserve"> (CHDO) Proceeds………………….</w:t>
      </w:r>
      <w:r w:rsidR="00C94895">
        <w:rPr>
          <w:rFonts w:ascii="Arial" w:hAnsi="Arial" w:cs="Arial"/>
        </w:rPr>
        <w:t xml:space="preserve">    </w:t>
      </w:r>
      <w:r w:rsidR="00C94895">
        <w:rPr>
          <w:rFonts w:ascii="Arial" w:hAnsi="Arial" w:cs="Arial"/>
        </w:rPr>
        <w:tab/>
        <w:t>IV-6</w:t>
      </w:r>
    </w:p>
    <w:p w:rsidR="00282615" w:rsidRPr="00282615" w:rsidRDefault="00282615" w:rsidP="00282615">
      <w:pPr>
        <w:pStyle w:val="NoSpacing"/>
        <w:rPr>
          <w:rFonts w:ascii="Arial" w:hAnsi="Arial" w:cs="Arial"/>
        </w:rPr>
      </w:pPr>
      <w:r w:rsidRPr="00282615">
        <w:rPr>
          <w:rFonts w:ascii="Arial" w:hAnsi="Arial" w:cs="Arial"/>
        </w:rPr>
        <w:tab/>
      </w:r>
    </w:p>
    <w:p w:rsidR="00282615" w:rsidRPr="00282615" w:rsidRDefault="00282615" w:rsidP="00C1232C">
      <w:pPr>
        <w:pStyle w:val="NoSpacing"/>
        <w:numPr>
          <w:ilvl w:val="0"/>
          <w:numId w:val="1"/>
        </w:numPr>
        <w:ind w:left="360"/>
        <w:rPr>
          <w:rFonts w:ascii="Arial" w:hAnsi="Arial" w:cs="Arial"/>
          <w:b/>
          <w:bCs/>
        </w:rPr>
      </w:pPr>
      <w:r w:rsidRPr="00282615">
        <w:rPr>
          <w:rFonts w:ascii="Arial" w:hAnsi="Arial" w:cs="Arial"/>
          <w:b/>
          <w:bCs/>
        </w:rPr>
        <w:t>Background</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Acceptance of HOME funds obligates grantees to ensure that HOME monies are used in accordance with all applicable requirements.  This chapter will discuss eligible program administrative costs, activity soft costs, program income and CHDO proceeds.</w:t>
      </w: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Eligible Administrative and Planning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The HOME allocation received by DOA</w:t>
      </w:r>
      <w:r>
        <w:rPr>
          <w:rFonts w:ascii="Arial" w:hAnsi="Arial" w:cs="Arial"/>
        </w:rPr>
        <w:t xml:space="preserve"> </w:t>
      </w:r>
      <w:r w:rsidRPr="00282615">
        <w:rPr>
          <w:rFonts w:ascii="Arial" w:hAnsi="Arial" w:cs="Arial"/>
        </w:rPr>
        <w:t>includes funds that may be used for reasonable administrative costs.  Current contracts allow up to 11% of the grant award to be used for administrative purposes.</w:t>
      </w:r>
      <w:r w:rsidR="00937A03">
        <w:rPr>
          <w:rFonts w:ascii="Arial" w:hAnsi="Arial" w:cs="Arial"/>
        </w:rPr>
        <w:t xml:space="preserve"> </w:t>
      </w:r>
      <w:r w:rsidRPr="00282615">
        <w:rPr>
          <w:rFonts w:ascii="Arial" w:hAnsi="Arial" w:cs="Arial"/>
        </w:rPr>
        <w:t xml:space="preserve">  </w:t>
      </w:r>
      <w:r w:rsidR="00937A03">
        <w:rPr>
          <w:rFonts w:ascii="Arial" w:hAnsi="Arial"/>
        </w:rPr>
        <w:t xml:space="preserve">In the event of conflict between the language specified in a grantee’s contract and this handbook or other supporting documents, the provisions in the contract shall take precedence.  </w:t>
      </w:r>
      <w:r w:rsidRPr="00282615">
        <w:rPr>
          <w:rFonts w:ascii="Arial" w:hAnsi="Arial" w:cs="Arial"/>
        </w:rPr>
        <w:t xml:space="preserve">Administrative costs may be incurred for operational expenses during the performance period of the contract.  The HOME Final Rule allows for some flexibility in the allocation of costs as administrative or activity-related soft costs.  The HOME Final Rule defines administrative costs and activity-related soft costs in the HOME Program at 24 CFR Part 92.206(c).  </w:t>
      </w:r>
    </w:p>
    <w:p w:rsidR="00282615" w:rsidRPr="00282615" w:rsidRDefault="00282615" w:rsidP="00282615">
      <w:pPr>
        <w:pStyle w:val="NoSpacing"/>
        <w:rPr>
          <w:rFonts w:ascii="Arial" w:hAnsi="Arial" w:cs="Arial"/>
        </w:rPr>
      </w:pPr>
    </w:p>
    <w:p w:rsidR="00282615" w:rsidRDefault="00282615" w:rsidP="00282615">
      <w:pPr>
        <w:pStyle w:val="NoSpacing"/>
        <w:rPr>
          <w:rFonts w:ascii="Arial" w:hAnsi="Arial" w:cs="Arial"/>
          <w:b/>
        </w:rPr>
      </w:pPr>
      <w:r w:rsidRPr="00282615">
        <w:rPr>
          <w:rFonts w:ascii="Arial" w:hAnsi="Arial" w:cs="Arial"/>
          <w:b/>
          <w:u w:val="single"/>
        </w:rPr>
        <w:t>General Management, Oversight, and Coordination:</w:t>
      </w:r>
      <w:r w:rsidRPr="00282615">
        <w:rPr>
          <w:rFonts w:ascii="Arial" w:hAnsi="Arial" w:cs="Arial"/>
          <w:b/>
        </w:rPr>
        <w:t xml:space="preserve">  </w:t>
      </w:r>
    </w:p>
    <w:p w:rsidR="00FB11C4" w:rsidRPr="00282615" w:rsidRDefault="00FB11C4" w:rsidP="00282615">
      <w:pPr>
        <w:pStyle w:val="NoSpacing"/>
        <w:rPr>
          <w:rFonts w:ascii="Arial" w:hAnsi="Arial" w:cs="Arial"/>
          <w:b/>
        </w:rPr>
      </w:pPr>
    </w:p>
    <w:p w:rsidR="00282615" w:rsidRPr="00282615" w:rsidRDefault="00282615" w:rsidP="00282615">
      <w:pPr>
        <w:pStyle w:val="NoSpacing"/>
        <w:rPr>
          <w:rFonts w:ascii="Arial" w:hAnsi="Arial" w:cs="Arial"/>
        </w:rPr>
      </w:pPr>
      <w:r w:rsidRPr="00282615">
        <w:rPr>
          <w:rFonts w:ascii="Arial" w:hAnsi="Arial" w:cs="Arial"/>
        </w:rPr>
        <w:t>These costs are always categorized as administrative costs.  By accepting HOME funds, a grantee assumes the responsibility for meeting all HOME requirements over time.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2"/>
        </w:numPr>
        <w:rPr>
          <w:rFonts w:ascii="Arial" w:hAnsi="Arial" w:cs="Arial"/>
        </w:rPr>
      </w:pPr>
      <w:r w:rsidRPr="00282615">
        <w:rPr>
          <w:rFonts w:ascii="Arial" w:hAnsi="Arial" w:cs="Arial"/>
        </w:rPr>
        <w:t xml:space="preserve">Staff salaries, wages and other costs related to executing HOME activities such as program coordination, management and evaluation </w:t>
      </w:r>
      <w:r w:rsidR="002961F4" w:rsidRPr="00282615">
        <w:rPr>
          <w:rFonts w:ascii="Arial" w:hAnsi="Arial" w:cs="Arial"/>
        </w:rPr>
        <w:t>and travel</w:t>
      </w:r>
      <w:r w:rsidR="002961F4">
        <w:rPr>
          <w:rFonts w:ascii="Arial" w:hAnsi="Arial" w:cs="Arial"/>
        </w:rPr>
        <w:t xml:space="preserve"> costs.</w:t>
      </w:r>
      <w:r w:rsidRPr="00282615">
        <w:rPr>
          <w:rFonts w:ascii="Arial" w:hAnsi="Arial" w:cs="Arial"/>
        </w:rPr>
        <w:t xml:space="preserve"> </w:t>
      </w:r>
      <w:r w:rsidRPr="00282615">
        <w:rPr>
          <w:rFonts w:ascii="Arial" w:hAnsi="Arial" w:cs="Arial"/>
        </w:rPr>
        <w:br/>
      </w:r>
      <w:r w:rsidRPr="00282615">
        <w:rPr>
          <w:rFonts w:ascii="Arial" w:hAnsi="Arial" w:cs="Arial"/>
        </w:rPr>
        <w:br/>
        <w:t xml:space="preserve">There are two alternatives for determining the amount of staff costs to charge.  Grantees must choose one and use it </w:t>
      </w:r>
      <w:r w:rsidRPr="00282615">
        <w:rPr>
          <w:rFonts w:ascii="Arial" w:hAnsi="Arial" w:cs="Arial"/>
          <w:u w:val="single"/>
        </w:rPr>
        <w:t>consistently</w:t>
      </w:r>
      <w:r w:rsidRPr="00282615">
        <w:rPr>
          <w:rFonts w:ascii="Arial" w:hAnsi="Arial" w:cs="Arial"/>
        </w:rPr>
        <w:t xml:space="preserve"> for the duration of the grant.</w:t>
      </w:r>
    </w:p>
    <w:p w:rsidR="00282615" w:rsidRPr="00282615" w:rsidRDefault="00282615" w:rsidP="00282615">
      <w:pPr>
        <w:pStyle w:val="NoSpacing"/>
        <w:rPr>
          <w:rFonts w:ascii="Arial" w:hAnsi="Arial" w:cs="Arial"/>
        </w:rPr>
      </w:pPr>
    </w:p>
    <w:p w:rsidR="00C1232C" w:rsidRDefault="00282615" w:rsidP="00C1232C">
      <w:pPr>
        <w:pStyle w:val="NoSpacing"/>
        <w:numPr>
          <w:ilvl w:val="0"/>
          <w:numId w:val="3"/>
        </w:numPr>
        <w:rPr>
          <w:rFonts w:ascii="Arial" w:hAnsi="Arial" w:cs="Arial"/>
        </w:rPr>
      </w:pPr>
      <w:r w:rsidRPr="00C1232C">
        <w:rPr>
          <w:rFonts w:ascii="Arial" w:hAnsi="Arial" w:cs="Arial"/>
        </w:rPr>
        <w:t xml:space="preserve">Include the entire salary, wages and related costs of each person whose primary responsibility involves program administration assignments.  Under this scenario if a staff member spends 90% of his/her time on HOME Program management, oversight, and coordination, the entire salary could be charged to HOME </w:t>
      </w:r>
      <w:r w:rsidRPr="00C1232C">
        <w:rPr>
          <w:rFonts w:ascii="Arial" w:hAnsi="Arial" w:cs="Arial"/>
        </w:rPr>
        <w:lastRenderedPageBreak/>
        <w:t>administration.  However, if only 30% of his/her time is spent on HOME Program management none of the time could be charged to HOME.</w:t>
      </w:r>
    </w:p>
    <w:p w:rsidR="00C1232C" w:rsidRDefault="00C1232C" w:rsidP="00C1232C">
      <w:pPr>
        <w:pStyle w:val="NoSpacing"/>
        <w:ind w:left="1080"/>
        <w:rPr>
          <w:rFonts w:ascii="Arial" w:hAnsi="Arial" w:cs="Arial"/>
        </w:rPr>
      </w:pPr>
    </w:p>
    <w:p w:rsidR="00282615" w:rsidRPr="00C1232C" w:rsidRDefault="00282615" w:rsidP="00C1232C">
      <w:pPr>
        <w:pStyle w:val="NoSpacing"/>
        <w:numPr>
          <w:ilvl w:val="0"/>
          <w:numId w:val="3"/>
        </w:numPr>
        <w:rPr>
          <w:rFonts w:ascii="Arial" w:hAnsi="Arial" w:cs="Arial"/>
        </w:rPr>
      </w:pPr>
      <w:r w:rsidRPr="00C1232C">
        <w:rPr>
          <w:rFonts w:ascii="Arial" w:hAnsi="Arial" w:cs="Arial"/>
        </w:rPr>
        <w:t>Determine the pro rata share of salary, wages, and related costs of each person whose job includes any HOME program administration assignments for each person.  Under this scenario 75% of ones person's time and 30% of another person's time could be charged to HOME Program administrative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Administrative services under third party agreements (e.g., consultant, legal services).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Providing public information to local officials, citizen organizations, and the general public about the HOME Program.</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Fair housing activities.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Indirect costs such as office rent, utilities, and maintenance. These may only be charged to the HOME Program under an agency cost allocation plan.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Costs of complying with the Federal requirements listed in subpart H of the HOME Final Rule are eligible administrative costs.  These include environmental review, relocation assistance (advisory services) for displaced persons.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Processing of applications for HOME Homebuyer and/or HOME Rehabilitation and Accessibility assistance.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Costs of a program audit.</w:t>
      </w:r>
      <w:r w:rsidRPr="00282615">
        <w:rPr>
          <w:rFonts w:ascii="Arial" w:hAnsi="Arial" w:cs="Arial"/>
        </w:rPr>
        <w:br/>
      </w: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Costs related to the development or financing of HOME-assisted housing are related soft costs of an activity and are eligible under the HOME program, as outlined in §92,206(d).  The costs must be “reasonable and necessary costs incurred by the owner (or grantee) and associated with the financing, or development (or both) of new construction, rehabilitation or acquisition of housing assisted with HOME funds.”</w:t>
      </w:r>
      <w:r w:rsidR="00937A03">
        <w:rPr>
          <w:rFonts w:ascii="Arial" w:hAnsi="Arial" w:cs="Arial"/>
        </w:rPr>
        <w:t xml:space="preserve">  In addition, the contract between the Grantee and the Department contains allowable cost requirements.  </w:t>
      </w:r>
      <w:r w:rsidR="00937A03">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Architectural, engineering or related professional services required to prepare plans, drawings, or specifications of an activity.</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Construction management fees and building permits.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Costs to finance an activity such as private lender origination fees, loan servicing and processing fees, credit reports, fees for title evidence, recording fees and filling of legal documents, and underwriting fees.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Impact fees that are charged for all activities within a jurisdiction.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lastRenderedPageBreak/>
        <w:t>Relocation payments, including replacement housing payments for moving expenses and payments for the reimbursement of reasonable out-of-pocket expenses incurred in connection with temporary relocation.</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Charges categorized as activity soft costs must be supported with documentation.  Documentation must be included in the activity file:</w:t>
      </w:r>
    </w:p>
    <w:p w:rsidR="002961F4" w:rsidRDefault="002961F4" w:rsidP="00282615">
      <w:pPr>
        <w:pStyle w:val="NoSpacing"/>
        <w:rPr>
          <w:rFonts w:ascii="Arial" w:hAnsi="Arial" w:cs="Arial"/>
        </w:rPr>
      </w:pPr>
    </w:p>
    <w:p w:rsidR="00C1232C" w:rsidRDefault="00282615" w:rsidP="00C1232C">
      <w:pPr>
        <w:pStyle w:val="NoSpacing"/>
        <w:numPr>
          <w:ilvl w:val="0"/>
          <w:numId w:val="6"/>
        </w:numPr>
        <w:rPr>
          <w:rFonts w:ascii="Arial" w:hAnsi="Arial" w:cs="Arial"/>
        </w:rPr>
      </w:pPr>
      <w:r w:rsidRPr="00C1232C">
        <w:rPr>
          <w:rFonts w:ascii="Arial" w:hAnsi="Arial" w:cs="Arial"/>
        </w:rPr>
        <w:t xml:space="preserve">Consultant charges may be either hourly or per-unit.  The contract between the grantee and consultant should state the amount and method of compensation.  The billing should show hours worked/units </w:t>
      </w:r>
      <w:r w:rsidR="00C1232C" w:rsidRPr="00C1232C">
        <w:rPr>
          <w:rFonts w:ascii="Arial" w:hAnsi="Arial" w:cs="Arial"/>
        </w:rPr>
        <w:t>completed for each activity; and</w:t>
      </w:r>
    </w:p>
    <w:p w:rsidR="00282615" w:rsidRPr="00C1232C" w:rsidRDefault="00282615" w:rsidP="00C1232C">
      <w:pPr>
        <w:pStyle w:val="NoSpacing"/>
        <w:numPr>
          <w:ilvl w:val="0"/>
          <w:numId w:val="6"/>
        </w:numPr>
        <w:rPr>
          <w:rFonts w:ascii="Arial" w:hAnsi="Arial" w:cs="Arial"/>
        </w:rPr>
      </w:pPr>
      <w:r w:rsidRPr="00C1232C">
        <w:rPr>
          <w:rFonts w:ascii="Arial" w:hAnsi="Arial" w:cs="Arial"/>
        </w:rPr>
        <w:t>Staff charges based on hourly rate will need to be documented with timesheets.  Timesheets should be signed by the employee and authorized by the supervisor with times and dates.</w:t>
      </w:r>
    </w:p>
    <w:p w:rsidR="00282615" w:rsidRPr="00282615" w:rsidRDefault="00282615" w:rsidP="00282615">
      <w:pPr>
        <w:pStyle w:val="NoSpacing"/>
        <w:rPr>
          <w:rFonts w:ascii="Arial" w:hAnsi="Arial" w:cs="Arial"/>
        </w:rPr>
      </w:pPr>
    </w:p>
    <w:p w:rsidR="00282615" w:rsidRPr="00C1232C" w:rsidRDefault="00FB11C4" w:rsidP="002961F4">
      <w:pPr>
        <w:pStyle w:val="NoSpacing"/>
        <w:rPr>
          <w:rFonts w:ascii="Arial" w:hAnsi="Arial" w:cs="Arial"/>
        </w:rPr>
      </w:pPr>
      <w:r>
        <w:rPr>
          <w:rFonts w:ascii="Arial" w:hAnsi="Arial" w:cs="Arial"/>
          <w:b/>
        </w:rPr>
        <w:t>NOTE</w:t>
      </w:r>
      <w:r w:rsidR="00282615" w:rsidRPr="002961F4">
        <w:rPr>
          <w:rFonts w:ascii="Arial" w:hAnsi="Arial" w:cs="Arial"/>
          <w:b/>
        </w:rPr>
        <w:t xml:space="preserve">:  </w:t>
      </w:r>
      <w:r w:rsidR="00282615" w:rsidRPr="00C1232C">
        <w:rPr>
          <w:rFonts w:ascii="Arial" w:hAnsi="Arial" w:cs="Arial"/>
        </w:rPr>
        <w:t>Soft costs cannot exceed 15% per activity and they do not count against the amount allowed for general administrative costs.</w:t>
      </w:r>
    </w:p>
    <w:p w:rsidR="00282615" w:rsidRPr="00C1232C"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Administrative or 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Certain costs may be charged as either administrative or as activity-related soft costs.  Choose either the Administrative or Activity budget line and consistently charge the following activities to that budget line for the term of the grant.</w:t>
      </w:r>
      <w:r w:rsidR="00937A03">
        <w:rPr>
          <w:rFonts w:ascii="Arial" w:hAnsi="Arial" w:cs="Arial"/>
        </w:rPr>
        <w:t xml:space="preserve">  In addition, the contract between the Grantee and the Department contains other cost requirements.  </w:t>
      </w:r>
      <w:r w:rsidR="00937A03">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7"/>
        </w:numPr>
        <w:rPr>
          <w:rFonts w:ascii="Arial" w:hAnsi="Arial" w:cs="Arial"/>
        </w:rPr>
      </w:pPr>
      <w:r w:rsidRPr="00282615">
        <w:rPr>
          <w:rFonts w:ascii="Arial" w:hAnsi="Arial" w:cs="Arial"/>
        </w:rPr>
        <w:t>Homebuyer or tenant counseling is an eligible activity-related cost. However, staff and overhead costs, and other services related to assisting potential owners, tenants, and homebuyers may be charged as activity-related soft costs only if the activity is funded and the individual becomes the owner or tenant of the HOME-assisted activity specified under 92.206(d)(6).</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7"/>
        </w:numPr>
        <w:rPr>
          <w:rFonts w:ascii="Arial" w:hAnsi="Arial" w:cs="Arial"/>
        </w:rPr>
      </w:pPr>
      <w:r w:rsidRPr="00282615">
        <w:rPr>
          <w:rFonts w:ascii="Arial" w:hAnsi="Arial" w:cs="Arial"/>
        </w:rPr>
        <w:t xml:space="preserve">Staff and overhead costs incurred by the Grantee or third-party contractor that are directly related to carrying out specific HOME activities, including: initial, interim, and final HQS inspections; lead risk assessments and clearance testing; and preparation of work specifications. </w:t>
      </w:r>
      <w:r w:rsidRPr="00282615">
        <w:rPr>
          <w:rFonts w:ascii="Arial" w:hAnsi="Arial" w:cs="Arial"/>
        </w:rPr>
        <w:br/>
      </w:r>
    </w:p>
    <w:p w:rsidR="00282615" w:rsidRPr="00282615" w:rsidRDefault="00282615" w:rsidP="00C1232C">
      <w:pPr>
        <w:pStyle w:val="NoSpacing"/>
        <w:numPr>
          <w:ilvl w:val="0"/>
          <w:numId w:val="7"/>
        </w:numPr>
        <w:rPr>
          <w:rFonts w:ascii="Arial" w:hAnsi="Arial" w:cs="Arial"/>
        </w:rPr>
      </w:pPr>
      <w:r w:rsidRPr="00282615">
        <w:rPr>
          <w:rFonts w:ascii="Arial" w:hAnsi="Arial" w:cs="Arial"/>
        </w:rPr>
        <w:t>Appraisals.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961F4">
        <w:rPr>
          <w:rFonts w:ascii="Arial" w:hAnsi="Arial" w:cs="Arial"/>
          <w:b/>
        </w:rPr>
        <w:t>NOTE:</w:t>
      </w:r>
      <w:r w:rsidRPr="00282615">
        <w:rPr>
          <w:rFonts w:ascii="Arial" w:hAnsi="Arial" w:cs="Arial"/>
        </w:rPr>
        <w:t xml:space="preserve"> If the salary for the person undertaking these duties is included under administrative costs, a charge may not also be made under 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Charging costs to a specific activity has several implications as defined below:</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count in the maximum per-unit subsidy limit calculation;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8"/>
        </w:numPr>
        <w:rPr>
          <w:rFonts w:ascii="Arial" w:hAnsi="Arial" w:cs="Arial"/>
        </w:rPr>
      </w:pPr>
      <w:r w:rsidRPr="00282615">
        <w:rPr>
          <w:rFonts w:ascii="Arial" w:hAnsi="Arial" w:cs="Arial"/>
        </w:rPr>
        <w:t>Administrative costs charged to the project should not be included in the loan to the project owner;</w:t>
      </w:r>
      <w:r w:rsidRPr="00282615">
        <w:rPr>
          <w:rFonts w:ascii="Arial" w:hAnsi="Arial" w:cs="Arial"/>
        </w:rPr>
        <w:br/>
      </w:r>
    </w:p>
    <w:p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trigger 25 percent match; and</w:t>
      </w:r>
      <w:r w:rsidRPr="00282615">
        <w:rPr>
          <w:rFonts w:ascii="Arial" w:hAnsi="Arial" w:cs="Arial"/>
        </w:rPr>
        <w:br/>
      </w:r>
    </w:p>
    <w:p w:rsidR="00282615" w:rsidRDefault="00282615" w:rsidP="00C1232C">
      <w:pPr>
        <w:pStyle w:val="NoSpacing"/>
        <w:numPr>
          <w:ilvl w:val="0"/>
          <w:numId w:val="8"/>
        </w:numPr>
        <w:rPr>
          <w:rFonts w:ascii="Arial" w:hAnsi="Arial" w:cs="Arial"/>
        </w:rPr>
      </w:pPr>
      <w:r w:rsidRPr="00282615">
        <w:rPr>
          <w:rFonts w:ascii="Arial" w:hAnsi="Arial" w:cs="Arial"/>
        </w:rPr>
        <w:lastRenderedPageBreak/>
        <w:t>If the activity does not go forward, project costs must be charged as administrative costs.</w:t>
      </w:r>
    </w:p>
    <w:p w:rsidR="00937A03" w:rsidRDefault="00937A03" w:rsidP="00355872">
      <w:pPr>
        <w:pStyle w:val="NoSpacing"/>
        <w:rPr>
          <w:rFonts w:ascii="Arial" w:hAnsi="Arial" w:cs="Arial"/>
        </w:rPr>
      </w:pPr>
    </w:p>
    <w:p w:rsidR="00937A03" w:rsidRPr="00282615" w:rsidRDefault="00937A03" w:rsidP="00355872">
      <w:pPr>
        <w:pStyle w:val="NoSpacing"/>
        <w:rPr>
          <w:rFonts w:ascii="Arial" w:hAnsi="Arial" w:cs="Arial"/>
        </w:rPr>
      </w:pP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Non-Allowable Activity Soft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Insurance against defects.  Costs of insurance with respect to any costs incurred to correct defects in the organization's materials or workmanship are unallowable. [OMB Circular A-122 "Cost Principles for Non-Profit Organizations" subparagraph</w:t>
      </w:r>
      <w:r w:rsidR="00C1232C">
        <w:rPr>
          <w:rFonts w:ascii="Arial" w:hAnsi="Arial" w:cs="Arial"/>
        </w:rPr>
        <w:t xml:space="preserve"> 22</w:t>
      </w:r>
      <w:r w:rsidRPr="00282615">
        <w:rPr>
          <w:rFonts w:ascii="Arial" w:hAnsi="Arial" w:cs="Arial"/>
        </w:rPr>
        <w:t>a(2)f]</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Activity-related soft costs incurred by a property owner are considered activity-specific and cannot be charged as administrative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Application fees to activity owners are not an eligible HOME Homebuyer cost.</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based on percentage of assistance.</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charged to a project for ongoing project monitoring and compliance reviews.</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for origination or loan servicing.</w:t>
      </w: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Project Soft Costs Charged to Client (Property Owner)</w:t>
      </w:r>
    </w:p>
    <w:p w:rsidR="00282615" w:rsidRPr="00282615" w:rsidRDefault="00282615" w:rsidP="00282615">
      <w:pPr>
        <w:pStyle w:val="NoSpacing"/>
        <w:rPr>
          <w:rFonts w:ascii="Arial" w:hAnsi="Arial" w:cs="Arial"/>
        </w:rPr>
      </w:pPr>
    </w:p>
    <w:p w:rsidR="00282615" w:rsidRDefault="00282615" w:rsidP="00282615">
      <w:pPr>
        <w:pStyle w:val="NoSpacing"/>
        <w:rPr>
          <w:rFonts w:ascii="Arial" w:hAnsi="Arial" w:cs="Arial"/>
        </w:rPr>
      </w:pPr>
      <w:r w:rsidRPr="00282615">
        <w:rPr>
          <w:rFonts w:ascii="Arial" w:hAnsi="Arial" w:cs="Arial"/>
        </w:rPr>
        <w:t>The following are project fees that CANNOT be charged to the client (included in the loan):</w:t>
      </w:r>
    </w:p>
    <w:p w:rsidR="002961F4" w:rsidRPr="00282615" w:rsidRDefault="002961F4" w:rsidP="00282615">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Construction management fees including HQS inspections, preparing work specifications, bidding and working with contractors, lead risk assessment and clearance testing, etc.;</w:t>
      </w:r>
    </w:p>
    <w:p w:rsidR="00282615" w:rsidRPr="00282615" w:rsidRDefault="00282615" w:rsidP="00282615">
      <w:pPr>
        <w:pStyle w:val="NoSpacing"/>
        <w:rPr>
          <w:rFonts w:ascii="Arial" w:hAnsi="Arial" w:cs="Arial"/>
        </w:rPr>
      </w:pPr>
    </w:p>
    <w:p w:rsidR="00282615" w:rsidRDefault="00282615" w:rsidP="00C1232C">
      <w:pPr>
        <w:pStyle w:val="NoSpacing"/>
        <w:numPr>
          <w:ilvl w:val="0"/>
          <w:numId w:val="10"/>
        </w:numPr>
        <w:rPr>
          <w:rFonts w:ascii="Arial" w:hAnsi="Arial" w:cs="Arial"/>
        </w:rPr>
      </w:pPr>
      <w:r w:rsidRPr="00282615">
        <w:rPr>
          <w:rFonts w:ascii="Arial" w:hAnsi="Arial" w:cs="Arial"/>
        </w:rPr>
        <w:t>Loan servicing fees for collecting and recording payments;</w:t>
      </w:r>
    </w:p>
    <w:p w:rsidR="002961F4" w:rsidRPr="00282615" w:rsidRDefault="002961F4" w:rsidP="002961F4">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Loan processing fees including reviewing the application, verifying employment and wages; and</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Underwriting fees</w:t>
      </w:r>
      <w:r w:rsidR="00C1232C">
        <w:rPr>
          <w:rFonts w:ascii="Arial" w:hAnsi="Arial" w:cs="Arial"/>
        </w:rPr>
        <w:t>.</w:t>
      </w:r>
    </w:p>
    <w:p w:rsidR="00282615" w:rsidRPr="00282615" w:rsidRDefault="00282615" w:rsidP="00282615">
      <w:pPr>
        <w:pStyle w:val="NoSpacing"/>
        <w:rPr>
          <w:rFonts w:ascii="Arial" w:hAnsi="Arial" w:cs="Arial"/>
        </w:rPr>
      </w:pPr>
      <w:r w:rsidRPr="00282615">
        <w:rPr>
          <w:rFonts w:ascii="Arial" w:hAnsi="Arial" w:cs="Arial"/>
        </w:rPr>
        <w:t xml:space="preserve">        </w:t>
      </w:r>
    </w:p>
    <w:p w:rsidR="00282615" w:rsidRPr="00282615" w:rsidRDefault="00282615" w:rsidP="00282615">
      <w:pPr>
        <w:pStyle w:val="NoSpacing"/>
        <w:rPr>
          <w:rFonts w:ascii="Arial" w:hAnsi="Arial" w:cs="Arial"/>
        </w:rPr>
      </w:pPr>
      <w:r w:rsidRPr="00282615">
        <w:rPr>
          <w:rFonts w:ascii="Arial" w:hAnsi="Arial" w:cs="Arial"/>
        </w:rPr>
        <w:t>These fees are eligible project soft costs but must be a grant to the client or charged to the general administrative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Fees that CAN be charged to the client include:</w:t>
      </w:r>
    </w:p>
    <w:p w:rsidR="002961F4" w:rsidRDefault="002961F4" w:rsidP="00282615">
      <w:pPr>
        <w:pStyle w:val="NoSpacing"/>
        <w:rPr>
          <w:rFonts w:ascii="Arial" w:hAnsi="Arial" w:cs="Arial"/>
        </w:rPr>
      </w:pPr>
    </w:p>
    <w:p w:rsidR="00282615" w:rsidRPr="00282615" w:rsidRDefault="00282615" w:rsidP="00C1232C">
      <w:pPr>
        <w:pStyle w:val="NoSpacing"/>
        <w:numPr>
          <w:ilvl w:val="0"/>
          <w:numId w:val="11"/>
        </w:numPr>
        <w:rPr>
          <w:rFonts w:ascii="Arial" w:hAnsi="Arial" w:cs="Arial"/>
        </w:rPr>
      </w:pPr>
      <w:r w:rsidRPr="00282615">
        <w:rPr>
          <w:rFonts w:ascii="Arial" w:hAnsi="Arial" w:cs="Arial"/>
        </w:rPr>
        <w:t>Credit report and appraisal</w:t>
      </w:r>
      <w:r w:rsidR="002961F4">
        <w:rPr>
          <w:rFonts w:ascii="Arial" w:hAnsi="Arial" w:cs="Arial"/>
        </w:rPr>
        <w:t>;</w:t>
      </w:r>
      <w:r w:rsidR="00C1232C">
        <w:rPr>
          <w:rFonts w:ascii="Arial" w:hAnsi="Arial" w:cs="Arial"/>
        </w:rPr>
        <w:t xml:space="preserve"> and</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1"/>
        </w:numPr>
        <w:rPr>
          <w:rFonts w:ascii="Arial" w:hAnsi="Arial" w:cs="Arial"/>
        </w:rPr>
      </w:pPr>
      <w:r w:rsidRPr="00282615">
        <w:rPr>
          <w:rFonts w:ascii="Arial" w:hAnsi="Arial" w:cs="Arial"/>
        </w:rPr>
        <w:t>Housing counseling (must document the bases for this fee)</w:t>
      </w:r>
      <w:r w:rsidR="002961F4">
        <w:rPr>
          <w:rFonts w:ascii="Arial" w:hAnsi="Arial" w:cs="Arial"/>
        </w:rPr>
        <w:t>.</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Program Income</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lang w:val="en-GB"/>
        </w:rPr>
      </w:pPr>
      <w:r w:rsidRPr="00282615">
        <w:rPr>
          <w:rFonts w:ascii="Arial" w:hAnsi="Arial" w:cs="Arial"/>
          <w:lang w:val="en-GB"/>
        </w:rPr>
        <w:t>Program Income (PI) means gross income received by the subrecipient/grantee that is directly generated from the use of HOME funds and matching contributions.  When PI is generated by housing that is only partially assisted with HOME funds or matching funds, the income shall be prorated to reflect the percentage of HOME funds or match used (24 CFR 92.2 Definitions).</w:t>
      </w:r>
    </w:p>
    <w:p w:rsidR="00C94895" w:rsidRDefault="00C94895" w:rsidP="00282615">
      <w:pPr>
        <w:pStyle w:val="NoSpacing"/>
        <w:rPr>
          <w:rFonts w:ascii="Arial" w:hAnsi="Arial" w:cs="Arial"/>
          <w:lang w:val="en-GB"/>
        </w:rPr>
      </w:pPr>
    </w:p>
    <w:p w:rsidR="00C94895" w:rsidRDefault="00C94895" w:rsidP="00282615">
      <w:pPr>
        <w:pStyle w:val="NoSpacing"/>
        <w:rPr>
          <w:rFonts w:ascii="Arial" w:hAnsi="Arial" w:cs="Arial"/>
          <w:lang w:val="en-GB"/>
        </w:rPr>
      </w:pPr>
    </w:p>
    <w:p w:rsidR="00C94895" w:rsidRDefault="00C94895" w:rsidP="00282615">
      <w:pPr>
        <w:pStyle w:val="NoSpacing"/>
        <w:rPr>
          <w:rFonts w:ascii="Arial" w:hAnsi="Arial" w:cs="Arial"/>
          <w:lang w:val="en-GB"/>
        </w:rPr>
      </w:pPr>
    </w:p>
    <w:p w:rsidR="00282615" w:rsidRPr="00282615" w:rsidRDefault="00282615" w:rsidP="00282615">
      <w:pPr>
        <w:pStyle w:val="NoSpacing"/>
        <w:rPr>
          <w:rFonts w:ascii="Arial" w:hAnsi="Arial" w:cs="Arial"/>
          <w:lang w:val="en-GB"/>
        </w:rPr>
      </w:pPr>
      <w:r w:rsidRPr="00282615">
        <w:rPr>
          <w:rFonts w:ascii="Arial" w:hAnsi="Arial" w:cs="Arial"/>
          <w:lang w:val="en-GB"/>
        </w:rPr>
        <w:t xml:space="preserve"> </w:t>
      </w:r>
    </w:p>
    <w:p w:rsidR="00282615" w:rsidRPr="00282615" w:rsidRDefault="00282615" w:rsidP="00282615">
      <w:pPr>
        <w:pStyle w:val="NoSpacing"/>
        <w:rPr>
          <w:rFonts w:ascii="Arial" w:hAnsi="Arial" w:cs="Arial"/>
          <w:lang w:val="en-GB"/>
        </w:rPr>
      </w:pPr>
      <w:r w:rsidRPr="00282615">
        <w:rPr>
          <w:rFonts w:ascii="Arial" w:hAnsi="Arial" w:cs="Arial"/>
          <w:lang w:val="en-GB"/>
        </w:rPr>
        <w:t>Program Income includes, but is not limited to:</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or long-term lease of real property acquired, rehabilitated or constructed with HOME funds or matching contributions;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Gross income from the use or rental of real property owned by the subrecipient that was acquired, rehabilitated or constructed with HOME funds or matching contributions, minus the costs incidental to generating of that income;</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Payments of principal and interest on loans made with HOME or matching funds;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of loans or obligations secured by loans made with HOME or matching contributions;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Income generated by an activity, which is funded with program income;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Interest on program income pending its disposition; and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Any other interest or return on the investment permitted under 92.205(b) of HOME and matching funds.  This does not include recaptured funds, repayments or CHDO proceeds.</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Recaptured Funds</w:t>
      </w:r>
    </w:p>
    <w:p w:rsidR="00282615" w:rsidRPr="00282615" w:rsidRDefault="00282615" w:rsidP="00282615">
      <w:pPr>
        <w:pStyle w:val="NoSpacing"/>
        <w:rPr>
          <w:rFonts w:ascii="Arial" w:hAnsi="Arial" w:cs="Arial"/>
          <w:lang w:val="en-GB"/>
        </w:rPr>
      </w:pPr>
    </w:p>
    <w:p w:rsidR="00282615" w:rsidRPr="00282615" w:rsidRDefault="00282615" w:rsidP="00282615">
      <w:pPr>
        <w:pStyle w:val="NoSpacing"/>
        <w:rPr>
          <w:rFonts w:ascii="Arial" w:hAnsi="Arial" w:cs="Arial"/>
          <w:lang w:val="en-GB"/>
        </w:rPr>
      </w:pPr>
      <w:r w:rsidRPr="00282615">
        <w:rPr>
          <w:rFonts w:ascii="Arial" w:hAnsi="Arial" w:cs="Arial"/>
          <w:lang w:val="en-GB"/>
        </w:rPr>
        <w:t>Recaptured funds are HOME funds which are recouped by the grantee when an assisted homebuyer property is sold (does not continue to be the principal residence of the assisted homebuyer) within the affordability period required by 24 CFR 92.254(a)(4).</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3"/>
        </w:numPr>
        <w:rPr>
          <w:rFonts w:ascii="Arial" w:hAnsi="Arial" w:cs="Arial"/>
          <w:lang w:val="en-GB"/>
        </w:rPr>
      </w:pPr>
      <w:r w:rsidRPr="00282615">
        <w:rPr>
          <w:rFonts w:ascii="Arial" w:hAnsi="Arial" w:cs="Arial"/>
          <w:lang w:val="en-GB"/>
        </w:rPr>
        <w:t xml:space="preserve">Recaptured funds are a return of original HOME investment and are technically not PI.  Therefore, unlike PI, 10% of recaptured funds cannot be used for administrative costs (HUD Notice: CPD 97-09, Part IV </w:t>
      </w:r>
      <w:r w:rsidRPr="00282615">
        <w:rPr>
          <w:rFonts w:ascii="Arial" w:hAnsi="Arial" w:cs="Arial"/>
          <w:u w:val="single"/>
          <w:lang w:val="en-GB"/>
        </w:rPr>
        <w:t>Recaptured Funds</w:t>
      </w:r>
      <w:r w:rsidRPr="00282615">
        <w:rPr>
          <w:rFonts w:ascii="Arial" w:hAnsi="Arial" w:cs="Arial"/>
          <w:lang w:val="en-GB"/>
        </w:rPr>
        <w:t>).</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Program Income and Consortiums</w:t>
      </w:r>
    </w:p>
    <w:p w:rsidR="00282615" w:rsidRPr="00282615" w:rsidRDefault="00282615" w:rsidP="00282615">
      <w:pPr>
        <w:pStyle w:val="NoSpacing"/>
        <w:rPr>
          <w:rFonts w:ascii="Arial" w:hAnsi="Arial" w:cs="Arial"/>
          <w:lang w:val="en-GB"/>
        </w:rPr>
      </w:pPr>
    </w:p>
    <w:p w:rsidR="00282615" w:rsidRPr="00282615" w:rsidRDefault="00282615" w:rsidP="00282615">
      <w:pPr>
        <w:pStyle w:val="NoSpacing"/>
        <w:rPr>
          <w:rFonts w:ascii="Arial" w:hAnsi="Arial" w:cs="Arial"/>
          <w:lang w:val="en-GB"/>
        </w:rPr>
      </w:pPr>
      <w:r w:rsidRPr="00282615">
        <w:rPr>
          <w:rFonts w:ascii="Arial" w:hAnsi="Arial" w:cs="Arial"/>
          <w:lang w:val="en-GB"/>
        </w:rPr>
        <w:t>Program Income derived from consortium activities is PI of the consortium.  The Consortium Agreement may permit a member to retain PI for other HOME activities within that member's boundaries.  However, the member must use its PI before additional HOME funds are drawn down for use within its boundaries.  In accordance with 24 CFR 92.503(a)(3), any PI</w:t>
      </w:r>
      <w:r w:rsidR="00937A03">
        <w:rPr>
          <w:rFonts w:ascii="Arial" w:hAnsi="Arial" w:cs="Arial"/>
          <w:lang w:val="en-GB"/>
        </w:rPr>
        <w:t xml:space="preserve"> </w:t>
      </w:r>
      <w:r w:rsidRPr="00282615">
        <w:rPr>
          <w:rFonts w:ascii="Arial" w:hAnsi="Arial" w:cs="Arial"/>
          <w:lang w:val="en-GB"/>
        </w:rPr>
        <w:t>on hand when a consortium member terminates its participation in the consortium, as well as any future PI (accounts receivable) is PI of the remaining consortium and may not be retained by the former consortium member.</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General Requirements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All HOME Program Income must be used in accordance with the HOME program rules.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lastRenderedPageBreak/>
        <w:t xml:space="preserve">Program Income must be expended before additional HOME funds are requested. [HOME Final Rule 24 CFR 92.504 (c)(1(viii)].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All grantees must maintain records which adequately identify the source and application of their HOME funds (including PI and CHDO proceeds) as part of the financial transactions of their home program, consistent with generally accepted accounting principles and the requirements of 24 CFR part 85.20.</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Subrecipients are not required to identify PI by program funding year.  However, they must be able to identify which activities generated PI and which activities received PI, including the amount.  Thus, the subrecipient's financial management system should track PI receivable (such as the amount and date of principal and interest due on a HOME loan).</w:t>
      </w:r>
    </w:p>
    <w:p w:rsidR="002961F4" w:rsidRPr="00282615" w:rsidRDefault="002961F4" w:rsidP="00282615">
      <w:pPr>
        <w:pStyle w:val="NoSpacing"/>
        <w:rPr>
          <w:rFonts w:ascii="Arial" w:hAnsi="Arial" w:cs="Arial"/>
          <w:lang w:val="en-GB"/>
        </w:rPr>
      </w:pPr>
    </w:p>
    <w:p w:rsidR="00282615" w:rsidRPr="00282615" w:rsidRDefault="00282615" w:rsidP="00C1232C">
      <w:pPr>
        <w:pStyle w:val="NoSpacing"/>
        <w:numPr>
          <w:ilvl w:val="0"/>
          <w:numId w:val="1"/>
        </w:numPr>
        <w:ind w:left="360"/>
        <w:rPr>
          <w:rFonts w:ascii="Arial" w:hAnsi="Arial" w:cs="Arial"/>
          <w:b/>
          <w:lang w:val="en-GB"/>
        </w:rPr>
      </w:pPr>
      <w:r w:rsidRPr="00282615">
        <w:rPr>
          <w:rFonts w:ascii="Arial" w:hAnsi="Arial" w:cs="Arial"/>
          <w:b/>
          <w:lang w:val="en-GB"/>
        </w:rPr>
        <w:t>Community Housing Development Organization (CHDO) Proceeds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Activity proceeds received by CHDOs may be considered PI.  Specific use of funds will be specified in the CHDO written agreement/contract.  The contract will specify whether use of funds will be limited to activities listed in the contract, other HOME-eligible activities or other housing activities that benefit low-income families.</w:t>
      </w:r>
    </w:p>
    <w:p w:rsidR="00282615" w:rsidRPr="00282615" w:rsidRDefault="00282615" w:rsidP="00282615">
      <w:pPr>
        <w:pStyle w:val="NoSpacing"/>
        <w:rPr>
          <w:rFonts w:ascii="Arial" w:hAnsi="Arial" w:cs="Arial"/>
          <w:lang w:val="en-GB"/>
        </w:rPr>
      </w:pPr>
    </w:p>
    <w:p w:rsidR="00282615" w:rsidRPr="00282615" w:rsidRDefault="00282615" w:rsidP="00740317">
      <w:pPr>
        <w:pStyle w:val="NoSpacing"/>
        <w:ind w:left="720"/>
        <w:rPr>
          <w:rFonts w:ascii="Arial" w:hAnsi="Arial" w:cs="Arial"/>
          <w:lang w:val="en-GB"/>
        </w:rPr>
      </w:pPr>
      <w:r w:rsidRPr="00740317">
        <w:rPr>
          <w:rFonts w:ascii="Arial" w:hAnsi="Arial" w:cs="Arial"/>
          <w:b/>
          <w:lang w:val="en-GB"/>
        </w:rPr>
        <w:t>NOTE</w:t>
      </w:r>
      <w:r w:rsidRPr="00282615">
        <w:rPr>
          <w:rFonts w:ascii="Arial" w:hAnsi="Arial" w:cs="Arial"/>
          <w:lang w:val="en-GB"/>
        </w:rPr>
        <w:t>: DOA retains the right to have a flexible policy on the use of proceeds that differs from CHDO to CHDO or even from activity to activity.</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Proceeds which the CHDO is permitted to retain are not HOME PI and, therefore, are not subject to the HOME requirements, except as described below:</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The CHDO proceeds retained by the CHDO must be used for HOME-eligible or other housing activities to benefit low-income families, as required by 24 CFR 92.300(a)(2).  Examples of "other housing activities" include: emergency repairs, activity operating costs and reserves, housing refinancing costs, CHDO operating expenses and homebuyer counselling;</w:t>
      </w:r>
    </w:p>
    <w:p w:rsidR="00282615" w:rsidRPr="00282615" w:rsidRDefault="00282615" w:rsidP="00740317">
      <w:pPr>
        <w:pStyle w:val="NoSpacing"/>
        <w:tabs>
          <w:tab w:val="left" w:pos="1155"/>
        </w:tabs>
        <w:ind w:firstLine="1155"/>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CHDO proceeds retained by a CHDO are not subject to the requirements of the HOME regulations, except for 24 CFR 92.300(a)(2).  Proceeds are not subject to the Davis-Bacon Act, National Environmental Policies Act and Uniform Relocation Assistance and real Property Acquisition Policies Act; and</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Because CHDO proceeds are derived from the expenditure of HOME funds, any activities that are funded with CHDO proceeds may not be contributed as match.</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7"/>
        </w:numPr>
        <w:rPr>
          <w:rFonts w:ascii="Arial" w:hAnsi="Arial" w:cs="Arial"/>
          <w:lang w:val="en-GB"/>
        </w:rPr>
      </w:pPr>
      <w:r w:rsidRPr="00282615">
        <w:rPr>
          <w:rFonts w:ascii="Arial" w:hAnsi="Arial" w:cs="Arial"/>
          <w:lang w:val="en-GB"/>
        </w:rPr>
        <w:t>If a CHDO is functioning in the capacity of a subrecipient, any funds generated from HOME-assisted activity are PI and not CHDO proceeds.  Therefore, such funds are subject to the HOME requirements pertaining to PI.</w:t>
      </w:r>
      <w:r w:rsidRPr="00282615">
        <w:rPr>
          <w:rFonts w:ascii="Arial" w:hAnsi="Arial" w:cs="Arial"/>
          <w:lang w:val="en-GB"/>
        </w:rPr>
        <w:br/>
      </w:r>
    </w:p>
    <w:p w:rsidR="00282615" w:rsidRDefault="00282615" w:rsidP="00C1232C">
      <w:pPr>
        <w:pStyle w:val="NoSpacing"/>
        <w:numPr>
          <w:ilvl w:val="0"/>
          <w:numId w:val="17"/>
        </w:numPr>
        <w:rPr>
          <w:rFonts w:ascii="Arial" w:hAnsi="Arial" w:cs="Arial"/>
          <w:lang w:val="en-GB"/>
        </w:rPr>
      </w:pPr>
      <w:r w:rsidRPr="00282615">
        <w:rPr>
          <w:rFonts w:ascii="Arial" w:hAnsi="Arial" w:cs="Arial"/>
          <w:lang w:val="en-GB"/>
        </w:rPr>
        <w:t>CHDO proceeds do not include funds that are recouped because the assisted homeownership housing does not continue to be the principal residence of the assisted homebuyer for the affordability period, as required by 24 CFR 92.503(c) Ownership Interest.</w:t>
      </w:r>
    </w:p>
    <w:p w:rsidR="00E442B7" w:rsidRDefault="00E442B7" w:rsidP="00355872">
      <w:pPr>
        <w:pStyle w:val="NoSpacing"/>
        <w:ind w:left="720"/>
        <w:rPr>
          <w:rFonts w:ascii="Arial" w:hAnsi="Arial" w:cs="Arial"/>
          <w:lang w:val="en-GB"/>
        </w:rPr>
      </w:pPr>
    </w:p>
    <w:p w:rsidR="00E442B7" w:rsidRPr="00282615" w:rsidRDefault="00E442B7" w:rsidP="00C1232C">
      <w:pPr>
        <w:pStyle w:val="NoSpacing"/>
        <w:numPr>
          <w:ilvl w:val="0"/>
          <w:numId w:val="17"/>
        </w:numPr>
        <w:rPr>
          <w:rFonts w:ascii="Arial" w:hAnsi="Arial" w:cs="Arial"/>
          <w:lang w:val="en-GB"/>
        </w:rPr>
      </w:pPr>
      <w:r>
        <w:rPr>
          <w:rFonts w:ascii="Arial" w:hAnsi="Arial" w:cs="Arial"/>
        </w:rPr>
        <w:lastRenderedPageBreak/>
        <w:t xml:space="preserve">In addition, the contract between the Grantee and the Department contains </w:t>
      </w:r>
      <w:r w:rsidR="006E194D">
        <w:rPr>
          <w:rFonts w:ascii="Arial" w:hAnsi="Arial" w:cs="Arial"/>
        </w:rPr>
        <w:t>CHDO</w:t>
      </w:r>
      <w:r>
        <w:rPr>
          <w:rFonts w:ascii="Arial" w:hAnsi="Arial" w:cs="Arial"/>
        </w:rPr>
        <w:t xml:space="preserve"> requirements.  </w:t>
      </w:r>
      <w:r>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lang w:val="en-GB"/>
        </w:rPr>
      </w:pPr>
    </w:p>
    <w:p w:rsidR="003D5639" w:rsidRPr="00282615" w:rsidRDefault="003D5639" w:rsidP="00282615">
      <w:pPr>
        <w:pStyle w:val="NoSpacing"/>
        <w:rPr>
          <w:rFonts w:ascii="Arial" w:hAnsi="Arial" w:cs="Arial"/>
        </w:rPr>
      </w:pPr>
    </w:p>
    <w:sectPr w:rsidR="003D5639" w:rsidRPr="00282615" w:rsidSect="00CC0147">
      <w:headerReference w:type="default" r:id="rId7"/>
      <w:footerReference w:type="default" r:id="rId8"/>
      <w:pgSz w:w="12240" w:h="15840" w:code="1"/>
      <w:pgMar w:top="1440" w:right="1440" w:bottom="1440" w:left="1440" w:header="432" w:footer="57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81" w:rsidRDefault="00670281">
      <w:pPr>
        <w:spacing w:after="0" w:line="240" w:lineRule="auto"/>
      </w:pPr>
      <w:r>
        <w:separator/>
      </w:r>
    </w:p>
  </w:endnote>
  <w:endnote w:type="continuationSeparator" w:id="0">
    <w:p w:rsidR="00670281" w:rsidRDefault="006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1E" w:rsidRDefault="00C1232C">
    <w:pPr>
      <w:pStyle w:val="Footer"/>
      <w:jc w:val="center"/>
      <w:rPr>
        <w:rFonts w:ascii="Arial" w:hAnsi="Arial"/>
        <w:sz w:val="20"/>
      </w:rPr>
    </w:pPr>
    <w:r>
      <w:rPr>
        <w:rFonts w:ascii="Arial" w:hAnsi="Arial"/>
        <w:sz w:val="20"/>
      </w:rPr>
      <w:t>IV-</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55B77">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81" w:rsidRDefault="00670281">
      <w:pPr>
        <w:spacing w:after="0" w:line="240" w:lineRule="auto"/>
      </w:pPr>
      <w:r>
        <w:separator/>
      </w:r>
    </w:p>
  </w:footnote>
  <w:footnote w:type="continuationSeparator" w:id="0">
    <w:p w:rsidR="00670281" w:rsidRDefault="0067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1E" w:rsidRDefault="00155B77">
    <w:pPr>
      <w:jc w:val="right"/>
      <w:rPr>
        <w:rFonts w:ascii="Arial Rounded MT Bold" w:hAnsi="Arial Rounded MT Bold"/>
        <w:sz w:val="20"/>
      </w:rPr>
    </w:pPr>
  </w:p>
  <w:p w:rsidR="006E031E" w:rsidRDefault="00155B77">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A2"/>
    <w:multiLevelType w:val="hybridMultilevel"/>
    <w:tmpl w:val="5742E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F28"/>
    <w:multiLevelType w:val="hybridMultilevel"/>
    <w:tmpl w:val="9EFC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2133"/>
    <w:multiLevelType w:val="hybridMultilevel"/>
    <w:tmpl w:val="8120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2D87"/>
    <w:multiLevelType w:val="hybridMultilevel"/>
    <w:tmpl w:val="94C0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A30"/>
    <w:multiLevelType w:val="hybridMultilevel"/>
    <w:tmpl w:val="781C5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82B"/>
    <w:multiLevelType w:val="hybridMultilevel"/>
    <w:tmpl w:val="7EAE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5DA1"/>
    <w:multiLevelType w:val="hybridMultilevel"/>
    <w:tmpl w:val="13A0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B72"/>
    <w:multiLevelType w:val="hybridMultilevel"/>
    <w:tmpl w:val="453A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5A2"/>
    <w:multiLevelType w:val="hybridMultilevel"/>
    <w:tmpl w:val="7DB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D51DD"/>
    <w:multiLevelType w:val="hybridMultilevel"/>
    <w:tmpl w:val="B5E2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F0D80"/>
    <w:multiLevelType w:val="hybridMultilevel"/>
    <w:tmpl w:val="3D44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4AE1"/>
    <w:multiLevelType w:val="hybridMultilevel"/>
    <w:tmpl w:val="DD00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A6F8B"/>
    <w:multiLevelType w:val="hybridMultilevel"/>
    <w:tmpl w:val="BC1C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E7F"/>
    <w:multiLevelType w:val="hybridMultilevel"/>
    <w:tmpl w:val="7EBA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D6BE0"/>
    <w:multiLevelType w:val="hybridMultilevel"/>
    <w:tmpl w:val="7940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58CD"/>
    <w:multiLevelType w:val="hybridMultilevel"/>
    <w:tmpl w:val="F6D4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F72598"/>
    <w:multiLevelType w:val="hybridMultilevel"/>
    <w:tmpl w:val="CE7A9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0"/>
  </w:num>
  <w:num w:numId="5">
    <w:abstractNumId w:val="10"/>
  </w:num>
  <w:num w:numId="6">
    <w:abstractNumId w:val="4"/>
  </w:num>
  <w:num w:numId="7">
    <w:abstractNumId w:val="7"/>
  </w:num>
  <w:num w:numId="8">
    <w:abstractNumId w:val="14"/>
  </w:num>
  <w:num w:numId="9">
    <w:abstractNumId w:val="5"/>
  </w:num>
  <w:num w:numId="10">
    <w:abstractNumId w:val="9"/>
  </w:num>
  <w:num w:numId="11">
    <w:abstractNumId w:val="13"/>
  </w:num>
  <w:num w:numId="12">
    <w:abstractNumId w:val="3"/>
  </w:num>
  <w:num w:numId="13">
    <w:abstractNumId w:val="8"/>
  </w:num>
  <w:num w:numId="14">
    <w:abstractNumId w:val="11"/>
  </w:num>
  <w:num w:numId="15">
    <w:abstractNumId w:val="6"/>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155B77"/>
    <w:rsid w:val="00221A3B"/>
    <w:rsid w:val="00282615"/>
    <w:rsid w:val="002961F4"/>
    <w:rsid w:val="00311DE2"/>
    <w:rsid w:val="00355872"/>
    <w:rsid w:val="003B7187"/>
    <w:rsid w:val="003D5639"/>
    <w:rsid w:val="00670281"/>
    <w:rsid w:val="006E194D"/>
    <w:rsid w:val="00740317"/>
    <w:rsid w:val="00937A03"/>
    <w:rsid w:val="009E4F69"/>
    <w:rsid w:val="00C1232C"/>
    <w:rsid w:val="00C1281B"/>
    <w:rsid w:val="00C94895"/>
    <w:rsid w:val="00D271F8"/>
    <w:rsid w:val="00D900FE"/>
    <w:rsid w:val="00E442B7"/>
    <w:rsid w:val="00F21A3F"/>
    <w:rsid w:val="00F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7ECA7-C824-44FD-AAD8-C619955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15"/>
  </w:style>
  <w:style w:type="character" w:styleId="PageNumber">
    <w:name w:val="page number"/>
    <w:basedOn w:val="DefaultParagraphFont"/>
    <w:rsid w:val="00282615"/>
  </w:style>
  <w:style w:type="paragraph" w:styleId="NoSpacing">
    <w:name w:val="No Spacing"/>
    <w:uiPriority w:val="1"/>
    <w:qFormat/>
    <w:rsid w:val="00282615"/>
    <w:pPr>
      <w:spacing w:after="0" w:line="240" w:lineRule="auto"/>
    </w:pPr>
  </w:style>
  <w:style w:type="paragraph" w:styleId="ListParagraph">
    <w:name w:val="List Paragraph"/>
    <w:basedOn w:val="Normal"/>
    <w:uiPriority w:val="34"/>
    <w:qFormat/>
    <w:rsid w:val="002961F4"/>
    <w:pPr>
      <w:ind w:left="720"/>
      <w:contextualSpacing/>
    </w:pPr>
  </w:style>
  <w:style w:type="paragraph" w:styleId="Header">
    <w:name w:val="header"/>
    <w:basedOn w:val="Normal"/>
    <w:link w:val="HeaderChar"/>
    <w:uiPriority w:val="99"/>
    <w:unhideWhenUsed/>
    <w:rsid w:val="0031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E2"/>
  </w:style>
  <w:style w:type="paragraph" w:styleId="BalloonText">
    <w:name w:val="Balloon Text"/>
    <w:basedOn w:val="Normal"/>
    <w:link w:val="BalloonTextChar"/>
    <w:uiPriority w:val="99"/>
    <w:semiHidden/>
    <w:unhideWhenUsed/>
    <w:rsid w:val="0035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33E6D4FPPFNA-223884491-2142</_dlc_DocId>
    <_dlc_DocIdUrl xmlns="bb65cc95-6d4e-4879-a879-9838761499af">
      <Url>https://doa.wi.gov/_layouts/15/DocIdRedir.aspx?ID=33E6D4FPPFNA-223884491-2142</Url>
      <Description>33E6D4FPPFNA-223884491-2142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15F98-895D-4E38-BEF1-2891BCB23D0F}"/>
</file>

<file path=customXml/itemProps2.xml><?xml version="1.0" encoding="utf-8"?>
<ds:datastoreItem xmlns:ds="http://schemas.openxmlformats.org/officeDocument/2006/customXml" ds:itemID="{47BBC09F-4D4A-4263-B102-BFCF0DA179CE}"/>
</file>

<file path=customXml/itemProps3.xml><?xml version="1.0" encoding="utf-8"?>
<ds:datastoreItem xmlns:ds="http://schemas.openxmlformats.org/officeDocument/2006/customXml" ds:itemID="{99D1EF94-CE86-46CA-B5C2-672EF26C8640}"/>
</file>

<file path=customXml/itemProps4.xml><?xml version="1.0" encoding="utf-8"?>
<ds:datastoreItem xmlns:ds="http://schemas.openxmlformats.org/officeDocument/2006/customXml" ds:itemID="{F0B99B9A-5D53-4E64-BE80-354C2AE52214}"/>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dcterms:created xsi:type="dcterms:W3CDTF">2017-10-19T13:37:00Z</dcterms:created>
  <dcterms:modified xsi:type="dcterms:W3CDTF">2017-10-19T13:37:00Z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aef031fa-4520-4fed-8d95-5139c5143a49</vt:lpwstr>
  </property>
  <property fmtid="{D5CDD505-2E9C-101B-9397-08002B2CF9AE}" pid="3" name="ContentTypeId">
    <vt:lpwstr>0x0101004EF7B3F25A96C54C9B76362B105D646D</vt:lpwstr>
  </property>
</Properties>
</file>