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F4" w:rsidRPr="00B74F27" w:rsidRDefault="00207880" w:rsidP="00520C51">
      <w:pPr>
        <w:pStyle w:val="Title"/>
      </w:pPr>
      <w:r>
        <w:t>Continuum Performance</w:t>
      </w:r>
    </w:p>
    <w:p w:rsidR="00110156" w:rsidRDefault="00110156" w:rsidP="00520C51"/>
    <w:p w:rsidR="00207880" w:rsidRDefault="00681BF4" w:rsidP="00520C51">
      <w:r w:rsidRPr="00520C51">
        <w:t>This</w:t>
      </w:r>
      <w:r w:rsidR="00B55D18" w:rsidRPr="00520C51">
        <w:t xml:space="preserve"> section</w:t>
      </w:r>
      <w:r w:rsidRPr="00520C51">
        <w:t xml:space="preserve"> must be completed </w:t>
      </w:r>
      <w:r w:rsidR="00207880" w:rsidRPr="00520C51">
        <w:t>with input from</w:t>
      </w:r>
      <w:r w:rsidR="00887C12">
        <w:t xml:space="preserve"> </w:t>
      </w:r>
      <w:r w:rsidR="00245A3C" w:rsidRPr="00520C51">
        <w:t>member agencies of the</w:t>
      </w:r>
      <w:r w:rsidR="00126895" w:rsidRPr="00520C51">
        <w:t xml:space="preserve"> HUD or</w:t>
      </w:r>
      <w:r w:rsidR="00245A3C" w:rsidRPr="00520C51">
        <w:t xml:space="preserve"> local Continuum of Care (COC)</w:t>
      </w:r>
      <w:r w:rsidR="00126895" w:rsidRPr="00520C51">
        <w:t>.</w:t>
      </w:r>
      <w:r w:rsidR="00245A3C" w:rsidRPr="00520C51">
        <w:t xml:space="preserve"> </w:t>
      </w:r>
      <w:r w:rsidR="00C351A8" w:rsidRPr="003B189D">
        <w:rPr>
          <w:b/>
        </w:rPr>
        <w:t>Part 1 and Part 2 are required</w:t>
      </w:r>
      <w:r w:rsidR="003B189D">
        <w:rPr>
          <w:b/>
        </w:rPr>
        <w:t xml:space="preserve"> and </w:t>
      </w:r>
      <w:r w:rsidR="00C351A8" w:rsidRPr="003B189D">
        <w:rPr>
          <w:b/>
        </w:rPr>
        <w:t>Part 3 is optional.</w:t>
      </w:r>
      <w:r w:rsidR="003E14A1">
        <w:t xml:space="preserve"> </w:t>
      </w:r>
      <w:r w:rsidR="00126895" w:rsidRPr="00520C51">
        <w:t xml:space="preserve">ETH Lead Agencies may </w:t>
      </w:r>
      <w:r w:rsidR="008B0E00">
        <w:t>coordinate</w:t>
      </w:r>
      <w:r w:rsidR="008B0E00" w:rsidRPr="00520C51">
        <w:t xml:space="preserve"> </w:t>
      </w:r>
      <w:r w:rsidR="00126895" w:rsidRPr="00520C51">
        <w:t>the effort to complete this section</w:t>
      </w:r>
      <w:r w:rsidR="00887C12">
        <w:t>, and all ETH funded agencies are required to participate.</w:t>
      </w:r>
      <w:r w:rsidR="003E14A1">
        <w:t xml:space="preserve"> </w:t>
      </w:r>
      <w:r w:rsidR="00887C12">
        <w:t>However,</w:t>
      </w:r>
      <w:r w:rsidR="008B0E00">
        <w:t xml:space="preserve"> fund allocations and question responses</w:t>
      </w:r>
      <w:r w:rsidR="00126895" w:rsidRPr="00520C51">
        <w:t xml:space="preserve"> must be </w:t>
      </w:r>
      <w:r w:rsidR="008B0E00">
        <w:t>determined</w:t>
      </w:r>
      <w:r w:rsidR="00126895" w:rsidRPr="00520C51">
        <w:t xml:space="preserve"> with input from other HUD or local COC agencies. </w:t>
      </w:r>
      <w:r w:rsidR="00245A3C" w:rsidRPr="00520C51">
        <w:t>In many cases, this also includes non</w:t>
      </w:r>
      <w:r w:rsidR="003B189D">
        <w:t xml:space="preserve"> </w:t>
      </w:r>
      <w:r w:rsidR="00245A3C" w:rsidRPr="00520C51">
        <w:t xml:space="preserve">ETH funded agencies. </w:t>
      </w:r>
    </w:p>
    <w:p w:rsidR="00A27646" w:rsidRDefault="00A27646" w:rsidP="00520C51"/>
    <w:p w:rsidR="00643ED7" w:rsidRDefault="00A27646" w:rsidP="00643ED7">
      <w:pPr>
        <w:pStyle w:val="Heading1"/>
      </w:pPr>
      <w:r>
        <w:t xml:space="preserve">Special Competitive </w:t>
      </w:r>
      <w:r w:rsidR="00C746CA">
        <w:t xml:space="preserve">ESG </w:t>
      </w:r>
      <w:r>
        <w:t>Allocation Information</w:t>
      </w:r>
    </w:p>
    <w:p w:rsidR="002F29F0" w:rsidRDefault="00C351A8" w:rsidP="00643ED7">
      <w:r w:rsidRPr="003E14A1">
        <w:rPr>
          <w:highlight w:val="red"/>
        </w:rPr>
        <w:t>$120,000</w:t>
      </w:r>
      <w:r>
        <w:t xml:space="preserve"> in ESG funding </w:t>
      </w:r>
      <w:r w:rsidR="00563EF4">
        <w:t xml:space="preserve">has been </w:t>
      </w:r>
      <w:r>
        <w:t xml:space="preserve">set aside </w:t>
      </w:r>
      <w:r w:rsidR="00563EF4">
        <w:t xml:space="preserve">this year </w:t>
      </w:r>
      <w:r>
        <w:t>for a Special Competitive</w:t>
      </w:r>
      <w:r w:rsidR="00C746CA">
        <w:t xml:space="preserve"> ESG</w:t>
      </w:r>
      <w:r>
        <w:t xml:space="preserve"> Allocation.</w:t>
      </w:r>
      <w:r w:rsidR="003E14A1">
        <w:t xml:space="preserve"> </w:t>
      </w:r>
      <w:r>
        <w:t>These fund</w:t>
      </w:r>
      <w:r w:rsidR="002F29F0">
        <w:t xml:space="preserve">s will be awarded </w:t>
      </w:r>
      <w:r>
        <w:t>through a competitive process.</w:t>
      </w:r>
      <w:r w:rsidR="003E14A1">
        <w:t xml:space="preserve"> </w:t>
      </w:r>
      <w:r w:rsidR="00C933A6">
        <w:t xml:space="preserve">Interested </w:t>
      </w:r>
      <w:r>
        <w:t xml:space="preserve">COCs </w:t>
      </w:r>
      <w:r w:rsidR="00C933A6">
        <w:t>must</w:t>
      </w:r>
      <w:r>
        <w:t xml:space="preserve"> fill out Part 3</w:t>
      </w:r>
      <w:r w:rsidR="00C933A6">
        <w:t xml:space="preserve"> of this section; their applications</w:t>
      </w:r>
      <w:r w:rsidR="003B189D">
        <w:t xml:space="preserve"> </w:t>
      </w:r>
      <w:r>
        <w:t>will be scored based on their responses to the questions in Part 1</w:t>
      </w:r>
      <w:r w:rsidR="003B189D">
        <w:t>.</w:t>
      </w:r>
      <w:r>
        <w:t xml:space="preserve"> </w:t>
      </w:r>
      <w:r w:rsidR="002F29F0">
        <w:t>50 points are available with the following breakdown:</w:t>
      </w:r>
      <w:r w:rsidR="00C933A6">
        <w:br/>
      </w:r>
    </w:p>
    <w:p w:rsidR="002F29F0" w:rsidRDefault="002F29F0" w:rsidP="002F29F0">
      <w:pPr>
        <w:pStyle w:val="ListParagraph"/>
        <w:numPr>
          <w:ilvl w:val="0"/>
          <w:numId w:val="24"/>
        </w:numPr>
      </w:pPr>
      <w:r>
        <w:t xml:space="preserve">Question A: 15 Points </w:t>
      </w:r>
    </w:p>
    <w:p w:rsidR="002F29F0" w:rsidRDefault="002F29F0" w:rsidP="002F29F0">
      <w:pPr>
        <w:pStyle w:val="ListParagraph"/>
        <w:numPr>
          <w:ilvl w:val="0"/>
          <w:numId w:val="24"/>
        </w:numPr>
      </w:pPr>
      <w:r>
        <w:t>Question B: 30 Points</w:t>
      </w:r>
    </w:p>
    <w:p w:rsidR="002F29F0" w:rsidRDefault="002F29F0" w:rsidP="002F29F0">
      <w:pPr>
        <w:pStyle w:val="ListParagraph"/>
        <w:numPr>
          <w:ilvl w:val="0"/>
          <w:numId w:val="24"/>
        </w:numPr>
      </w:pPr>
      <w:r>
        <w:t>Question C: 5 Points</w:t>
      </w:r>
    </w:p>
    <w:p w:rsidR="002F29F0" w:rsidRDefault="002F29F0" w:rsidP="00643ED7"/>
    <w:p w:rsidR="00643ED7" w:rsidRPr="00643ED7" w:rsidRDefault="00D91F66" w:rsidP="00643ED7">
      <w:r w:rsidRPr="003E14A1">
        <w:rPr>
          <w:highlight w:val="red"/>
        </w:rPr>
        <w:t xml:space="preserve">The </w:t>
      </w:r>
      <w:r w:rsidR="002F29F0" w:rsidRPr="003E14A1">
        <w:rPr>
          <w:highlight w:val="red"/>
        </w:rPr>
        <w:t xml:space="preserve">three </w:t>
      </w:r>
      <w:r w:rsidRPr="003E14A1">
        <w:rPr>
          <w:highlight w:val="red"/>
        </w:rPr>
        <w:t>highest scoring applicants will be awarded $40,000</w:t>
      </w:r>
      <w:r>
        <w:t xml:space="preserve"> from th</w:t>
      </w:r>
      <w:r w:rsidR="002F29F0">
        <w:t>e Special Competitive</w:t>
      </w:r>
      <w:r w:rsidR="00C746CA">
        <w:t xml:space="preserve"> ESG</w:t>
      </w:r>
      <w:r w:rsidR="002F29F0">
        <w:t xml:space="preserve"> Allocation to use for the activities described in Part 3</w:t>
      </w:r>
      <w:r>
        <w:t>.</w:t>
      </w:r>
    </w:p>
    <w:p w:rsidR="00207880" w:rsidRPr="00207880" w:rsidRDefault="00207880" w:rsidP="00520C51"/>
    <w:p w:rsidR="00207880" w:rsidRDefault="00C351A8" w:rsidP="00520C51">
      <w:pPr>
        <w:pStyle w:val="Heading1"/>
      </w:pPr>
      <w:r>
        <w:t>Part</w:t>
      </w:r>
      <w:r w:rsidR="00207880">
        <w:t xml:space="preserve"> 1: Allocation Process</w:t>
      </w:r>
    </w:p>
    <w:p w:rsidR="00A727C5" w:rsidRDefault="00126895" w:rsidP="00520C51">
      <w:r>
        <w:t xml:space="preserve">HUD and local COCs are required to </w:t>
      </w:r>
      <w:r w:rsidR="00C933A6">
        <w:t xml:space="preserve">incorporate </w:t>
      </w:r>
      <w:r>
        <w:t>performance data and/or evidence in</w:t>
      </w:r>
      <w:r w:rsidR="00C933A6">
        <w:t>to</w:t>
      </w:r>
      <w:r>
        <w:t xml:space="preserve"> their</w:t>
      </w:r>
      <w:r w:rsidR="00C933A6">
        <w:t xml:space="preserve"> funding allocation process</w:t>
      </w:r>
      <w:r>
        <w:t xml:space="preserve">. </w:t>
      </w:r>
      <w:r w:rsidR="00C933A6">
        <w:t xml:space="preserve">This can be done </w:t>
      </w:r>
      <w:r w:rsidR="00ED0326">
        <w:t>in two ways</w:t>
      </w:r>
      <w:r w:rsidR="00C933A6">
        <w:t>:</w:t>
      </w:r>
    </w:p>
    <w:p w:rsidR="00A727C5" w:rsidRDefault="00A727C5" w:rsidP="00520C51"/>
    <w:p w:rsidR="00026F95" w:rsidRDefault="00026F95" w:rsidP="00026F95">
      <w:pPr>
        <w:pStyle w:val="ListParagraph"/>
        <w:numPr>
          <w:ilvl w:val="0"/>
          <w:numId w:val="22"/>
        </w:numPr>
      </w:pPr>
      <w:r>
        <w:t xml:space="preserve">Use data and/or evidence to divide funding </w:t>
      </w:r>
      <w:r w:rsidR="00A727C5">
        <w:t>among</w:t>
      </w:r>
      <w:r>
        <w:t xml:space="preserve"> </w:t>
      </w:r>
      <w:r w:rsidRPr="00026F95">
        <w:rPr>
          <w:u w:val="single"/>
        </w:rPr>
        <w:t>project types</w:t>
      </w:r>
      <w:r>
        <w:t xml:space="preserve">. </w:t>
      </w:r>
      <w:r w:rsidR="00126895">
        <w:t xml:space="preserve">For example, </w:t>
      </w:r>
      <w:r w:rsidR="00C933A6">
        <w:t xml:space="preserve">COCs </w:t>
      </w:r>
      <w:r>
        <w:t>may assess client needs and their system’s performance to determine the best way to divide funding between shelter, rapid re-housing, homelessness prevention, and street outreach (</w:t>
      </w:r>
      <w:r w:rsidR="00C933A6">
        <w:t>e.g.</w:t>
      </w:r>
      <w:r>
        <w:t xml:space="preserve"> if average length of homelessness is high,</w:t>
      </w:r>
      <w:r w:rsidR="00C933A6">
        <w:t xml:space="preserve"> they can</w:t>
      </w:r>
      <w:r>
        <w:t xml:space="preserve"> invest in strategies that reduce average length of homelessness</w:t>
      </w:r>
      <w:r w:rsidR="003B189D">
        <w:t xml:space="preserve">; </w:t>
      </w:r>
      <w:r>
        <w:t xml:space="preserve">if there are many people experiencing chronic homelessness on the streets, </w:t>
      </w:r>
      <w:r w:rsidR="00C933A6">
        <w:t xml:space="preserve">they can </w:t>
      </w:r>
      <w:r>
        <w:t>invest in street outreach</w:t>
      </w:r>
      <w:r w:rsidR="00C933A6">
        <w:t>;</w:t>
      </w:r>
      <w:r>
        <w:t xml:space="preserve"> etc.)</w:t>
      </w:r>
      <w:r w:rsidR="003E14A1">
        <w:t xml:space="preserve"> </w:t>
      </w:r>
    </w:p>
    <w:p w:rsidR="00A727C5" w:rsidRDefault="00A727C5" w:rsidP="00A727C5">
      <w:pPr>
        <w:pStyle w:val="ListParagraph"/>
      </w:pPr>
    </w:p>
    <w:p w:rsidR="00126895" w:rsidRDefault="00026F95" w:rsidP="00026F95">
      <w:pPr>
        <w:pStyle w:val="ListParagraph"/>
        <w:numPr>
          <w:ilvl w:val="0"/>
          <w:numId w:val="22"/>
        </w:numPr>
      </w:pPr>
      <w:r>
        <w:t xml:space="preserve">Use data and/or evidence to divide funding among </w:t>
      </w:r>
      <w:r w:rsidRPr="00026F95">
        <w:rPr>
          <w:u w:val="single"/>
        </w:rPr>
        <w:t>applicants of the same project type</w:t>
      </w:r>
      <w:r>
        <w:t>.</w:t>
      </w:r>
      <w:r w:rsidR="003E14A1">
        <w:t xml:space="preserve"> </w:t>
      </w:r>
      <w:r>
        <w:t>For exa</w:t>
      </w:r>
      <w:r w:rsidR="003B189D">
        <w:t xml:space="preserve">mple, </w:t>
      </w:r>
      <w:r w:rsidR="00C933A6">
        <w:t>COCs</w:t>
      </w:r>
      <w:r w:rsidR="00A727C5">
        <w:t xml:space="preserve"> </w:t>
      </w:r>
      <w:r w:rsidR="00126895">
        <w:t>may use occupancy rate data from the Housing Inventory Chart, average length of stay, exits to permanent housing and</w:t>
      </w:r>
      <w:r w:rsidR="00557621">
        <w:t>/or</w:t>
      </w:r>
      <w:r w:rsidR="00126895">
        <w:t xml:space="preserve"> total clients served </w:t>
      </w:r>
      <w:r w:rsidR="00C933A6">
        <w:t xml:space="preserve">to divide </w:t>
      </w:r>
      <w:r w:rsidR="00126895">
        <w:t>funds among shelters</w:t>
      </w:r>
      <w:r w:rsidR="00C933A6">
        <w:t xml:space="preserve"> according to their performance</w:t>
      </w:r>
      <w:r w:rsidR="00126895">
        <w:t>.</w:t>
      </w:r>
      <w:r w:rsidR="003E14A1">
        <w:t xml:space="preserve"> </w:t>
      </w:r>
    </w:p>
    <w:p w:rsidR="00A727C5" w:rsidRDefault="00A727C5" w:rsidP="00A727C5">
      <w:pPr>
        <w:pStyle w:val="ListParagraph"/>
      </w:pPr>
    </w:p>
    <w:p w:rsidR="00A727C5" w:rsidRPr="007A7A79" w:rsidRDefault="00A727C5" w:rsidP="00A727C5">
      <w:pPr>
        <w:rPr>
          <w:b/>
        </w:rPr>
      </w:pPr>
      <w:r w:rsidRPr="007A7A79">
        <w:rPr>
          <w:b/>
        </w:rPr>
        <w:t>HUD and local COCs</w:t>
      </w:r>
      <w:r w:rsidR="00BB576A" w:rsidRPr="007A7A79">
        <w:rPr>
          <w:b/>
        </w:rPr>
        <w:t xml:space="preserve"> are required to use data and/or evidence in one of the two ways described above; however, they are encouraged to use data in </w:t>
      </w:r>
      <w:r w:rsidR="00BB576A" w:rsidRPr="007A7A79">
        <w:rPr>
          <w:b/>
          <w:i/>
        </w:rPr>
        <w:t>both</w:t>
      </w:r>
      <w:r w:rsidR="00BB576A" w:rsidRPr="007A7A79">
        <w:rPr>
          <w:b/>
        </w:rPr>
        <w:t xml:space="preserve"> ways if possible.</w:t>
      </w:r>
      <w:r w:rsidR="003E14A1">
        <w:rPr>
          <w:b/>
        </w:rPr>
        <w:t xml:space="preserve"> </w:t>
      </w:r>
      <w:r w:rsidRPr="007A7A79">
        <w:rPr>
          <w:b/>
        </w:rPr>
        <w:t xml:space="preserve"> </w:t>
      </w:r>
    </w:p>
    <w:p w:rsidR="00851C7B" w:rsidRDefault="00851C7B" w:rsidP="00A727C5"/>
    <w:p w:rsidR="00A727C5" w:rsidRPr="00126895" w:rsidRDefault="00851C7B" w:rsidP="00A727C5">
      <w:r>
        <w:t xml:space="preserve">When going through this process, </w:t>
      </w:r>
      <w:r w:rsidR="00643ED7">
        <w:t xml:space="preserve">HUD and local COCs are </w:t>
      </w:r>
      <w:r>
        <w:t>encouraged to consider</w:t>
      </w:r>
      <w:r w:rsidR="00BB576A">
        <w:t xml:space="preserve"> both</w:t>
      </w:r>
      <w:r w:rsidR="00643ED7">
        <w:t xml:space="preserve"> </w:t>
      </w:r>
      <w:r w:rsidR="00BB576A">
        <w:t>(</w:t>
      </w:r>
      <w:r w:rsidR="00643ED7">
        <w:t>A</w:t>
      </w:r>
      <w:r>
        <w:t>) how each individual agency’s performance is affecting the system</w:t>
      </w:r>
      <w:r w:rsidR="00BB576A">
        <w:t>’s</w:t>
      </w:r>
      <w:r>
        <w:t xml:space="preserve"> performance measures</w:t>
      </w:r>
      <w:r w:rsidR="00643ED7">
        <w:t xml:space="preserve"> and </w:t>
      </w:r>
      <w:r w:rsidR="00BB576A">
        <w:t>(</w:t>
      </w:r>
      <w:r w:rsidR="00643ED7">
        <w:t>B</w:t>
      </w:r>
      <w:r>
        <w:t>) how funds can be allocated in the most efficient way possible (i.e. think about cost per positive outcome</w:t>
      </w:r>
      <w:r w:rsidR="003B189D">
        <w:t>).</w:t>
      </w:r>
    </w:p>
    <w:p w:rsidR="00207880" w:rsidRPr="00110156" w:rsidRDefault="00207880" w:rsidP="00520C51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207880" w:rsidRPr="00110156" w:rsidTr="00505C89">
        <w:tc>
          <w:tcPr>
            <w:tcW w:w="10350" w:type="dxa"/>
            <w:shd w:val="clear" w:color="auto" w:fill="000000"/>
          </w:tcPr>
          <w:p w:rsidR="00207880" w:rsidRPr="00110156" w:rsidRDefault="00A27646" w:rsidP="00C87B26">
            <w:pPr>
              <w:pStyle w:val="ListParagraph"/>
              <w:numPr>
                <w:ilvl w:val="0"/>
                <w:numId w:val="20"/>
              </w:numPr>
            </w:pPr>
            <w:bookmarkStart w:id="0" w:name="OLE_LINK1"/>
            <w:r>
              <w:t>Please review your COC’s HUD System Performance Measure</w:t>
            </w:r>
            <w:r w:rsidR="00583575">
              <w:t xml:space="preserve"> data</w:t>
            </w:r>
            <w:r w:rsidR="00643ED7">
              <w:t xml:space="preserve"> and </w:t>
            </w:r>
            <w:r w:rsidR="00C87B26">
              <w:t>respond to each of the following</w:t>
            </w:r>
            <w:r w:rsidR="00643ED7">
              <w:t xml:space="preserve"> questions:</w:t>
            </w:r>
            <w:r w:rsidR="003E14A1">
              <w:t xml:space="preserve"> </w:t>
            </w:r>
          </w:p>
        </w:tc>
      </w:tr>
      <w:tr w:rsidR="00207880" w:rsidRPr="00110156" w:rsidTr="00505C89">
        <w:trPr>
          <w:trHeight w:val="53"/>
        </w:trPr>
        <w:tc>
          <w:tcPr>
            <w:tcW w:w="10350" w:type="dxa"/>
            <w:shd w:val="clear" w:color="auto" w:fill="auto"/>
          </w:tcPr>
          <w:p w:rsidR="00C87B26" w:rsidRDefault="00C87B26" w:rsidP="00C87B26">
            <w:pPr>
              <w:pStyle w:val="ListParagraph"/>
              <w:ind w:left="1440"/>
            </w:pPr>
          </w:p>
          <w:p w:rsidR="00C87B26" w:rsidRPr="007A7A79" w:rsidRDefault="00C87B26" w:rsidP="00C87B26">
            <w:pPr>
              <w:pStyle w:val="ListParagraph"/>
              <w:numPr>
                <w:ilvl w:val="1"/>
                <w:numId w:val="20"/>
              </w:numPr>
              <w:ind w:left="720"/>
            </w:pPr>
            <w:r w:rsidRPr="007A7A79">
              <w:t>In what areas is your COC’s performance in need of improvement?</w:t>
            </w:r>
            <w:r w:rsidR="003E14A1">
              <w:t xml:space="preserve"> </w:t>
            </w:r>
            <w:r w:rsidR="000627E6" w:rsidRPr="007A7A79">
              <w:t>Why do you think this is the case?</w:t>
            </w:r>
            <w:r w:rsidR="003E14A1">
              <w:t xml:space="preserve"> </w:t>
            </w:r>
            <w:r w:rsidR="000627E6" w:rsidRPr="007A7A79">
              <w:rPr>
                <w:i/>
              </w:rPr>
              <w:t>If you are having trouble identifying these areas, start</w:t>
            </w:r>
            <w:r w:rsidRPr="007A7A79">
              <w:rPr>
                <w:i/>
              </w:rPr>
              <w:t xml:space="preserve"> by comparing your COC’s </w:t>
            </w:r>
            <w:r w:rsidR="000627E6" w:rsidRPr="007A7A79">
              <w:rPr>
                <w:i/>
              </w:rPr>
              <w:t xml:space="preserve">system performance measure </w:t>
            </w:r>
            <w:r w:rsidRPr="007A7A79">
              <w:rPr>
                <w:i/>
              </w:rPr>
              <w:t>data to other COCs,</w:t>
            </w:r>
            <w:r w:rsidR="000627E6" w:rsidRPr="007A7A79">
              <w:rPr>
                <w:i/>
              </w:rPr>
              <w:t xml:space="preserve"> or the “point breakdowns” in the ESG/HPP Funding Formula,</w:t>
            </w:r>
            <w:r w:rsidRPr="007A7A79">
              <w:rPr>
                <w:i/>
              </w:rPr>
              <w:t xml:space="preserve"> </w:t>
            </w:r>
            <w:r w:rsidR="000627E6" w:rsidRPr="007A7A79">
              <w:rPr>
                <w:i/>
              </w:rPr>
              <w:t xml:space="preserve">or </w:t>
            </w:r>
            <w:r w:rsidRPr="007A7A79">
              <w:rPr>
                <w:i/>
              </w:rPr>
              <w:t>goals/plans set at the local level.</w:t>
            </w:r>
          </w:p>
          <w:p w:rsidR="000627E6" w:rsidRDefault="000627E6" w:rsidP="00C87B26">
            <w:pPr>
              <w:pStyle w:val="ListParagraph"/>
              <w:ind w:left="0"/>
            </w:pPr>
          </w:p>
          <w:p w:rsidR="00C87B26" w:rsidRDefault="00C87B26" w:rsidP="00C87B26">
            <w:pPr>
              <w:ind w:left="-720"/>
            </w:pPr>
          </w:p>
          <w:p w:rsidR="00C87B26" w:rsidRDefault="00C87B26" w:rsidP="00C87B26">
            <w:pPr>
              <w:pStyle w:val="ListParagraph"/>
              <w:numPr>
                <w:ilvl w:val="1"/>
                <w:numId w:val="20"/>
              </w:numPr>
              <w:ind w:left="720"/>
            </w:pPr>
            <w:r>
              <w:t xml:space="preserve">What is your step by step plan to improve </w:t>
            </w:r>
            <w:r w:rsidR="000627E6">
              <w:t>the areas identified above</w:t>
            </w:r>
            <w:r>
              <w:t xml:space="preserve"> in the next year?</w:t>
            </w:r>
            <w:r w:rsidR="003E14A1">
              <w:t xml:space="preserve"> </w:t>
            </w:r>
          </w:p>
          <w:p w:rsidR="000627E6" w:rsidRDefault="000627E6" w:rsidP="000627E6"/>
          <w:p w:rsidR="000627E6" w:rsidRDefault="000627E6" w:rsidP="000627E6"/>
          <w:p w:rsidR="000627E6" w:rsidRDefault="000627E6" w:rsidP="000627E6"/>
          <w:p w:rsidR="00207880" w:rsidRDefault="00C87B26" w:rsidP="00C87B26">
            <w:pPr>
              <w:pStyle w:val="ListParagraph"/>
              <w:numPr>
                <w:ilvl w:val="1"/>
                <w:numId w:val="20"/>
              </w:numPr>
              <w:ind w:left="720"/>
            </w:pPr>
            <w:r>
              <w:t>What are the barriers to improvement and how will your COC overcome them?</w:t>
            </w:r>
          </w:p>
          <w:p w:rsidR="000627E6" w:rsidRDefault="000627E6" w:rsidP="000627E6"/>
          <w:p w:rsidR="000627E6" w:rsidRDefault="000627E6" w:rsidP="000627E6"/>
          <w:p w:rsidR="00643ED7" w:rsidRPr="00110156" w:rsidRDefault="00643ED7" w:rsidP="00520C51"/>
        </w:tc>
      </w:tr>
      <w:bookmarkEnd w:id="0"/>
    </w:tbl>
    <w:p w:rsidR="00207880" w:rsidRDefault="00207880" w:rsidP="00520C51"/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583575" w:rsidRPr="00110156" w:rsidTr="00583575">
        <w:tc>
          <w:tcPr>
            <w:tcW w:w="10350" w:type="dxa"/>
            <w:shd w:val="clear" w:color="auto" w:fill="000000"/>
          </w:tcPr>
          <w:p w:rsidR="00583575" w:rsidRPr="00110156" w:rsidRDefault="00A46601" w:rsidP="008C7BEE">
            <w:pPr>
              <w:pStyle w:val="ListParagraph"/>
              <w:numPr>
                <w:ilvl w:val="0"/>
                <w:numId w:val="20"/>
              </w:numPr>
            </w:pPr>
            <w:r>
              <w:t xml:space="preserve">Please </w:t>
            </w:r>
            <w:r w:rsidR="00E236AB">
              <w:t>respond to each of the</w:t>
            </w:r>
            <w:r>
              <w:t xml:space="preserve"> following questions</w:t>
            </w:r>
            <w:r w:rsidR="00E236AB">
              <w:t>/statements</w:t>
            </w:r>
            <w:r>
              <w:t xml:space="preserve"> to explain </w:t>
            </w:r>
            <w:r w:rsidR="00CC3B0C">
              <w:t>how data and/or evidence was used in the decision to allocate funding</w:t>
            </w:r>
            <w:r w:rsidR="00CC3B0C" w:rsidRPr="00110156">
              <w:t>.</w:t>
            </w:r>
            <w:r w:rsidR="003E14A1">
              <w:t xml:space="preserve"> </w:t>
            </w:r>
            <w:r w:rsidR="009D2CF4">
              <w:t>There is an HMIS</w:t>
            </w:r>
            <w:r w:rsidR="008C7BEE">
              <w:t xml:space="preserve"> ART</w:t>
            </w:r>
            <w:r w:rsidR="009D2CF4">
              <w:t xml:space="preserve"> folder containing reports that you could run to obtain performance data.</w:t>
            </w:r>
            <w:r w:rsidR="003E14A1">
              <w:t xml:space="preserve"> </w:t>
            </w:r>
          </w:p>
        </w:tc>
      </w:tr>
      <w:tr w:rsidR="00583575" w:rsidRPr="00110156" w:rsidTr="00583575">
        <w:trPr>
          <w:trHeight w:val="260"/>
        </w:trPr>
        <w:tc>
          <w:tcPr>
            <w:tcW w:w="10350" w:type="dxa"/>
            <w:shd w:val="clear" w:color="auto" w:fill="auto"/>
          </w:tcPr>
          <w:p w:rsidR="00583575" w:rsidRDefault="00583575" w:rsidP="00583575"/>
          <w:p w:rsidR="00B35A06" w:rsidRDefault="002030D5" w:rsidP="00A46601">
            <w:pPr>
              <w:pStyle w:val="ListParagraph"/>
              <w:numPr>
                <w:ilvl w:val="0"/>
                <w:numId w:val="27"/>
              </w:numPr>
            </w:pPr>
            <w:r>
              <w:t xml:space="preserve">If you used data and/or evidence to divide funding among </w:t>
            </w:r>
            <w:r w:rsidRPr="002030D5">
              <w:rPr>
                <w:u w:val="single"/>
              </w:rPr>
              <w:t>project types</w:t>
            </w:r>
            <w:r w:rsidR="00B35A06">
              <w:t xml:space="preserve">: </w:t>
            </w:r>
          </w:p>
          <w:p w:rsidR="002030D5" w:rsidRDefault="00B35A06" w:rsidP="00B35A06">
            <w:pPr>
              <w:pStyle w:val="ListParagraph"/>
              <w:numPr>
                <w:ilvl w:val="1"/>
                <w:numId w:val="27"/>
              </w:numPr>
            </w:pPr>
            <w:r>
              <w:t>List how much funding was allocated to each project type.</w:t>
            </w:r>
          </w:p>
          <w:p w:rsidR="00B35A06" w:rsidRDefault="00B35A06" w:rsidP="00B35A06"/>
          <w:p w:rsidR="00B35A06" w:rsidRDefault="00B35A06" w:rsidP="00B35A06"/>
          <w:p w:rsidR="00B35A06" w:rsidRPr="007A7A79" w:rsidRDefault="00B35A06" w:rsidP="00B35A06">
            <w:pPr>
              <w:pStyle w:val="ListParagraph"/>
              <w:numPr>
                <w:ilvl w:val="1"/>
                <w:numId w:val="27"/>
              </w:numPr>
            </w:pPr>
            <w:r>
              <w:t xml:space="preserve">Explain </w:t>
            </w:r>
            <w:r w:rsidR="00F36128">
              <w:t xml:space="preserve">why each </w:t>
            </w:r>
            <w:r>
              <w:t>project type was allocated the amount of funding above</w:t>
            </w:r>
            <w:r w:rsidR="00F36128">
              <w:t xml:space="preserve"> using data and/or evidence</w:t>
            </w:r>
            <w:r>
              <w:t>.</w:t>
            </w:r>
            <w:r w:rsidR="003E14A1">
              <w:t xml:space="preserve"> </w:t>
            </w:r>
            <w:r>
              <w:rPr>
                <w:i/>
              </w:rPr>
              <w:t xml:space="preserve">E.g. what data elements, analyses of gaps/needs, and/or </w:t>
            </w:r>
            <w:r w:rsidRPr="00B35A06">
              <w:rPr>
                <w:i/>
              </w:rPr>
              <w:t>COC goals were considered.</w:t>
            </w:r>
          </w:p>
          <w:p w:rsidR="007A7A79" w:rsidRDefault="007A7A79" w:rsidP="007A7A79"/>
          <w:p w:rsidR="007A7A79" w:rsidRPr="007A7A79" w:rsidRDefault="007A7A79" w:rsidP="007A7A79"/>
          <w:p w:rsidR="007A7A79" w:rsidRPr="00F36128" w:rsidRDefault="007A7A79" w:rsidP="007A7A79">
            <w:pPr>
              <w:pStyle w:val="ListParagraph"/>
              <w:numPr>
                <w:ilvl w:val="1"/>
                <w:numId w:val="27"/>
              </w:numPr>
            </w:pPr>
            <w:r>
              <w:t>Attach spreadsheets or documents showing the data and calculations.</w:t>
            </w:r>
            <w:r w:rsidR="003E14A1">
              <w:t xml:space="preserve"> </w:t>
            </w:r>
          </w:p>
          <w:p w:rsidR="007A7A79" w:rsidRPr="00F36128" w:rsidRDefault="007A7A79" w:rsidP="007A7A79"/>
          <w:p w:rsidR="002030D5" w:rsidRDefault="00F36128" w:rsidP="00A46601">
            <w:pPr>
              <w:pStyle w:val="ListParagraph"/>
              <w:numPr>
                <w:ilvl w:val="0"/>
                <w:numId w:val="27"/>
              </w:numPr>
            </w:pPr>
            <w:r>
              <w:t xml:space="preserve">If you used data and/or evidence to divide funding among </w:t>
            </w:r>
            <w:r w:rsidRPr="00F36128">
              <w:rPr>
                <w:u w:val="single"/>
              </w:rPr>
              <w:t>applicants of the same project type:</w:t>
            </w:r>
          </w:p>
          <w:p w:rsidR="00F36128" w:rsidRDefault="00F36128" w:rsidP="00F36128">
            <w:pPr>
              <w:pStyle w:val="ListParagraph"/>
              <w:numPr>
                <w:ilvl w:val="1"/>
                <w:numId w:val="27"/>
              </w:numPr>
            </w:pPr>
            <w:r>
              <w:t>List how much funding was allocated to each applicant.</w:t>
            </w:r>
          </w:p>
          <w:p w:rsidR="00F36128" w:rsidRDefault="00F36128" w:rsidP="00F36128">
            <w:pPr>
              <w:pStyle w:val="ListParagraph"/>
              <w:ind w:left="1440"/>
            </w:pPr>
          </w:p>
          <w:p w:rsidR="00F36128" w:rsidRDefault="00F36128" w:rsidP="00F36128">
            <w:pPr>
              <w:pStyle w:val="ListParagraph"/>
              <w:ind w:left="1440"/>
            </w:pPr>
          </w:p>
          <w:p w:rsidR="007A7A79" w:rsidRDefault="00332165" w:rsidP="007A7A79">
            <w:pPr>
              <w:pStyle w:val="ListParagraph"/>
              <w:numPr>
                <w:ilvl w:val="1"/>
                <w:numId w:val="27"/>
              </w:numPr>
            </w:pPr>
            <w:r>
              <w:t>L</w:t>
            </w:r>
            <w:r w:rsidR="00A46601">
              <w:t xml:space="preserve">ist each data element used </w:t>
            </w:r>
            <w:r w:rsidR="00F36128">
              <w:t xml:space="preserve">to divide funding among applicants </w:t>
            </w:r>
            <w:r w:rsidR="00A46601">
              <w:t>and explain why it was used.</w:t>
            </w:r>
          </w:p>
          <w:p w:rsidR="007A7A79" w:rsidRDefault="007A7A79" w:rsidP="007A7A79"/>
          <w:p w:rsidR="007A7A79" w:rsidRDefault="007A7A79" w:rsidP="007A7A79"/>
          <w:p w:rsidR="00A46601" w:rsidRDefault="007A7A79" w:rsidP="007A7A79">
            <w:pPr>
              <w:pStyle w:val="ListParagraph"/>
              <w:numPr>
                <w:ilvl w:val="1"/>
                <w:numId w:val="27"/>
              </w:numPr>
            </w:pPr>
            <w:r>
              <w:t xml:space="preserve">Attach </w:t>
            </w:r>
            <w:r w:rsidR="00E236AB">
              <w:t>spreadsheets or documents showing the data and calculations.</w:t>
            </w:r>
            <w:r w:rsidR="003E14A1">
              <w:t xml:space="preserve"> </w:t>
            </w:r>
          </w:p>
          <w:p w:rsidR="00F36128" w:rsidRPr="00110156" w:rsidRDefault="00F36128" w:rsidP="00F36128">
            <w:pPr>
              <w:pStyle w:val="ListParagraph"/>
            </w:pPr>
          </w:p>
        </w:tc>
      </w:tr>
    </w:tbl>
    <w:p w:rsidR="00583575" w:rsidRDefault="00583575" w:rsidP="00520C51"/>
    <w:p w:rsidR="007A7A79" w:rsidRPr="00110156" w:rsidRDefault="007A7A79" w:rsidP="00520C51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207880" w:rsidRPr="00110156" w:rsidTr="00505C89">
        <w:tc>
          <w:tcPr>
            <w:tcW w:w="10350" w:type="dxa"/>
            <w:shd w:val="clear" w:color="auto" w:fill="000000"/>
          </w:tcPr>
          <w:p w:rsidR="00207880" w:rsidRPr="00110156" w:rsidRDefault="003B189D" w:rsidP="007A7A79">
            <w:pPr>
              <w:pStyle w:val="ListParagraph"/>
              <w:numPr>
                <w:ilvl w:val="0"/>
                <w:numId w:val="20"/>
              </w:numPr>
            </w:pPr>
            <w:r>
              <w:lastRenderedPageBreak/>
              <w:t xml:space="preserve">Describe how the entire </w:t>
            </w:r>
            <w:r w:rsidR="00BB576A">
              <w:t>COC</w:t>
            </w:r>
            <w:r w:rsidR="00207880">
              <w:t xml:space="preserve"> was involved in the ETH Allocation Process, including non</w:t>
            </w:r>
            <w:r w:rsidR="00ED0326">
              <w:t xml:space="preserve"> </w:t>
            </w:r>
            <w:r w:rsidR="00207880">
              <w:t>ETH funded agencies</w:t>
            </w:r>
            <w:r w:rsidR="007A7A79">
              <w:t xml:space="preserve"> (i.e. don’t just discuss this at an “ETH-only meeting” – these discussions are about systems, and should involve the larger COC)</w:t>
            </w:r>
            <w:r w:rsidR="00207880">
              <w:t>.</w:t>
            </w:r>
            <w:r w:rsidR="003E14A1">
              <w:t xml:space="preserve"> </w:t>
            </w:r>
          </w:p>
        </w:tc>
      </w:tr>
      <w:tr w:rsidR="00207880" w:rsidRPr="00110156" w:rsidTr="00505C89">
        <w:trPr>
          <w:trHeight w:val="53"/>
        </w:trPr>
        <w:tc>
          <w:tcPr>
            <w:tcW w:w="10350" w:type="dxa"/>
            <w:shd w:val="clear" w:color="auto" w:fill="auto"/>
          </w:tcPr>
          <w:p w:rsidR="00207880" w:rsidRDefault="00207880" w:rsidP="00520C51"/>
          <w:p w:rsidR="00643ED7" w:rsidRPr="00110156" w:rsidRDefault="00643ED7" w:rsidP="00520C51"/>
        </w:tc>
      </w:tr>
    </w:tbl>
    <w:p w:rsidR="00015E52" w:rsidRPr="00015E52" w:rsidRDefault="00015E52" w:rsidP="00520C51"/>
    <w:p w:rsidR="00C75781" w:rsidRPr="00110156" w:rsidRDefault="00C351A8" w:rsidP="00520C51">
      <w:pPr>
        <w:pStyle w:val="Heading1"/>
      </w:pPr>
      <w:r>
        <w:t>Part</w:t>
      </w:r>
      <w:r w:rsidR="00245A3C">
        <w:t xml:space="preserve"> </w:t>
      </w:r>
      <w:r w:rsidR="00207880">
        <w:t>2</w:t>
      </w:r>
      <w:r w:rsidR="00A12DF0">
        <w:t>: Continuum of Services</w:t>
      </w:r>
    </w:p>
    <w:p w:rsidR="00C75781" w:rsidRPr="00110156" w:rsidRDefault="00C75781" w:rsidP="00520C51">
      <w:r w:rsidRPr="00110156">
        <w:t>In the following chart</w:t>
      </w:r>
      <w:r w:rsidR="00CD54F5" w:rsidRPr="00110156">
        <w:t>,</w:t>
      </w:r>
      <w:r w:rsidRPr="00110156">
        <w:t xml:space="preserve"> </w:t>
      </w:r>
      <w:r w:rsidR="00CD54F5" w:rsidRPr="00110156">
        <w:t>identify</w:t>
      </w:r>
      <w:r w:rsidRPr="00110156">
        <w:t xml:space="preserve"> the agency</w:t>
      </w:r>
      <w:r w:rsidR="00BB576A">
        <w:t xml:space="preserve"> or agencies</w:t>
      </w:r>
      <w:r w:rsidRPr="00110156">
        <w:t xml:space="preserve"> that provide </w:t>
      </w:r>
      <w:r w:rsidR="00BB576A">
        <w:t>each</w:t>
      </w:r>
      <w:r w:rsidR="00BB576A" w:rsidRPr="00110156">
        <w:t xml:space="preserve"> </w:t>
      </w:r>
      <w:r w:rsidRPr="00110156">
        <w:t xml:space="preserve">service and </w:t>
      </w:r>
      <w:r w:rsidR="00BB576A">
        <w:t>note whether</w:t>
      </w:r>
      <w:r w:rsidR="00BB576A" w:rsidRPr="00110156">
        <w:t xml:space="preserve"> </w:t>
      </w:r>
      <w:r w:rsidRPr="00110156">
        <w:t xml:space="preserve">active </w:t>
      </w:r>
      <w:r w:rsidR="005768B3" w:rsidRPr="00110156">
        <w:t>referrals</w:t>
      </w:r>
      <w:r w:rsidRPr="00110156">
        <w:t xml:space="preserve"> are made </w:t>
      </w:r>
      <w:r w:rsidR="00245A3C">
        <w:t xml:space="preserve">by </w:t>
      </w:r>
      <w:r w:rsidRPr="00110156">
        <w:t>homeless se</w:t>
      </w:r>
      <w:r w:rsidR="00245A3C">
        <w:t>rvice providers</w:t>
      </w:r>
      <w:r w:rsidRPr="00110156">
        <w:t xml:space="preserve"> in your </w:t>
      </w:r>
      <w:r w:rsidR="00ED0326">
        <w:t>COC</w:t>
      </w:r>
      <w:r w:rsidRPr="00110156">
        <w:t>.</w:t>
      </w:r>
      <w:r w:rsidR="003E14A1">
        <w:t xml:space="preserve"> </w:t>
      </w:r>
      <w:r w:rsidRPr="00110156">
        <w:t xml:space="preserve">If </w:t>
      </w:r>
      <w:r w:rsidR="00BB576A">
        <w:t>a given</w:t>
      </w:r>
      <w:r w:rsidR="00BB576A" w:rsidRPr="00110156">
        <w:t xml:space="preserve"> </w:t>
      </w:r>
      <w:r w:rsidRPr="00110156">
        <w:t xml:space="preserve">service is not available to clients </w:t>
      </w:r>
      <w:r w:rsidR="00BB576A">
        <w:t>in</w:t>
      </w:r>
      <w:r w:rsidR="00BB576A" w:rsidRPr="00110156">
        <w:t xml:space="preserve"> </w:t>
      </w:r>
      <w:r w:rsidR="00ED0326">
        <w:t xml:space="preserve">your </w:t>
      </w:r>
      <w:r w:rsidR="00BB576A">
        <w:t>COC,</w:t>
      </w:r>
      <w:r w:rsidRPr="00110156">
        <w:t xml:space="preserve"> </w:t>
      </w:r>
      <w:r w:rsidR="00BB576A">
        <w:t>write</w:t>
      </w:r>
      <w:r w:rsidRPr="00110156">
        <w:t xml:space="preserve"> </w:t>
      </w:r>
      <w:r w:rsidR="00207880">
        <w:t>N</w:t>
      </w:r>
      <w:r w:rsidR="00BB576A">
        <w:t>/</w:t>
      </w:r>
      <w:r w:rsidR="00207880">
        <w:t>A</w:t>
      </w:r>
      <w:r w:rsidRPr="00110156">
        <w:t>.</w:t>
      </w:r>
      <w:r w:rsidR="003E14A1">
        <w:t xml:space="preserve"> </w:t>
      </w:r>
    </w:p>
    <w:p w:rsidR="00C75781" w:rsidRPr="00110156" w:rsidRDefault="00C75781" w:rsidP="00520C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390"/>
        <w:gridCol w:w="3330"/>
      </w:tblGrid>
      <w:tr w:rsidR="00C75781" w:rsidRPr="00110156" w:rsidTr="00ED0326">
        <w:trPr>
          <w:cantSplit/>
        </w:trPr>
        <w:tc>
          <w:tcPr>
            <w:tcW w:w="648" w:type="dxa"/>
            <w:shd w:val="clear" w:color="auto" w:fill="000000"/>
          </w:tcPr>
          <w:p w:rsidR="00C75781" w:rsidRPr="00110156" w:rsidRDefault="00C75781" w:rsidP="00520C51"/>
        </w:tc>
        <w:tc>
          <w:tcPr>
            <w:tcW w:w="6390" w:type="dxa"/>
            <w:shd w:val="clear" w:color="auto" w:fill="000000"/>
            <w:vAlign w:val="center"/>
          </w:tcPr>
          <w:p w:rsidR="00C75781" w:rsidRPr="00110156" w:rsidRDefault="00C75781" w:rsidP="00520C51">
            <w:r w:rsidRPr="00110156">
              <w:t>SERVICE TYPE</w:t>
            </w:r>
          </w:p>
        </w:tc>
        <w:tc>
          <w:tcPr>
            <w:tcW w:w="3330" w:type="dxa"/>
            <w:shd w:val="clear" w:color="auto" w:fill="000000"/>
          </w:tcPr>
          <w:p w:rsidR="00C75781" w:rsidRPr="00110156" w:rsidRDefault="00C75781" w:rsidP="00520C51">
            <w:r w:rsidRPr="00110156">
              <w:t>DESCRIPTION</w:t>
            </w:r>
          </w:p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A.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Case Management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B.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Emergency Financial Assistance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  <w:trHeight w:val="287"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C.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Domestic Violence Shelters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D.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Homeless Outreach Services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E.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Legal Services and Mediation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  <w:trHeight w:val="422"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F.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Local Housing Authorities, Public Housing, Subsidies and Subsidized Housing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G.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Private Market Landlords and Management Companies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H.</w:t>
            </w:r>
          </w:p>
        </w:tc>
        <w:tc>
          <w:tcPr>
            <w:tcW w:w="6390" w:type="dxa"/>
            <w:shd w:val="clear" w:color="auto" w:fill="auto"/>
          </w:tcPr>
          <w:p w:rsidR="00C75781" w:rsidRPr="00110156" w:rsidRDefault="00C75781" w:rsidP="00520C51">
            <w:r w:rsidRPr="00110156">
              <w:t>Specialized Supportive Housing Programs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I.</w:t>
            </w:r>
          </w:p>
        </w:tc>
        <w:tc>
          <w:tcPr>
            <w:tcW w:w="6390" w:type="dxa"/>
            <w:shd w:val="clear" w:color="auto" w:fill="auto"/>
          </w:tcPr>
          <w:p w:rsidR="00C75781" w:rsidRPr="00110156" w:rsidRDefault="00C75781" w:rsidP="00520C51">
            <w:r w:rsidRPr="00110156">
              <w:t>Job Training and Employment Services, Temporary Labor Agencies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J.</w:t>
            </w:r>
          </w:p>
        </w:tc>
        <w:tc>
          <w:tcPr>
            <w:tcW w:w="6390" w:type="dxa"/>
            <w:shd w:val="clear" w:color="auto" w:fill="auto"/>
          </w:tcPr>
          <w:p w:rsidR="00C75781" w:rsidRPr="00110156" w:rsidRDefault="00C75781" w:rsidP="00520C51">
            <w:r w:rsidRPr="00110156">
              <w:t>Childcare Resources and Public Programs that Subsidize Childcare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K.</w:t>
            </w:r>
          </w:p>
        </w:tc>
        <w:tc>
          <w:tcPr>
            <w:tcW w:w="6390" w:type="dxa"/>
            <w:shd w:val="clear" w:color="auto" w:fill="auto"/>
          </w:tcPr>
          <w:p w:rsidR="00C75781" w:rsidRPr="00110156" w:rsidRDefault="00C75781" w:rsidP="00520C51">
            <w:r w:rsidRPr="00110156">
              <w:t>Consumer Credit Counseling Service Agencies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L.</w:t>
            </w:r>
          </w:p>
        </w:tc>
        <w:tc>
          <w:tcPr>
            <w:tcW w:w="6390" w:type="dxa"/>
            <w:shd w:val="clear" w:color="auto" w:fill="auto"/>
          </w:tcPr>
          <w:p w:rsidR="00C75781" w:rsidRPr="00110156" w:rsidRDefault="00C75781" w:rsidP="00520C51">
            <w:r w:rsidRPr="00110156">
              <w:t>Mental Health and Substance Abuse Assessment and Treatment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  <w:trHeight w:val="242"/>
        </w:trPr>
        <w:tc>
          <w:tcPr>
            <w:tcW w:w="648" w:type="dxa"/>
            <w:shd w:val="clear" w:color="auto" w:fill="auto"/>
          </w:tcPr>
          <w:p w:rsidR="00C75781" w:rsidRPr="00110156" w:rsidRDefault="00C75781" w:rsidP="00520C51">
            <w:r w:rsidRPr="00110156">
              <w:t>M.</w:t>
            </w:r>
          </w:p>
        </w:tc>
        <w:tc>
          <w:tcPr>
            <w:tcW w:w="6390" w:type="dxa"/>
            <w:shd w:val="clear" w:color="auto" w:fill="auto"/>
          </w:tcPr>
          <w:p w:rsidR="00C75781" w:rsidRPr="00110156" w:rsidRDefault="00C75781" w:rsidP="00520C51">
            <w:r w:rsidRPr="00110156">
              <w:t>Youth Development and Child Welfare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N.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Women, Infants and Children (WIC) (7 CFR part 246)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O.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Supplemental Nutrition Assistance Program (7 CFR parts 271– 283);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P.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Federal-State Unemployment Insurance Program (20 CFR parts 601– 603, 606, 609, 614–617, 625, 640, 650)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Q.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Social Security Disability Insurance (SSDI) (20 CFR part 404)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R.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Supplemental Security Income (SSI) (20 CFR part 416)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S.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Child and Adult Care Food Program (42 U.S.C. 1766(t) (7 CFR part 226))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T.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Shelter Plus Care Program (24 CFR part 582)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U.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Section 8 Moderate Rehabilitation Program for Single Room Occupancy Program for Homeless Individuals (24 CFR part 882)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V.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HUD—Veterans Affairs Supportive Housing (HUD–VASH) (division K, title II, Consolidated Appropriations Act, 2008, Pub. L. 110–161 (2007), 73 FR 25026 (May 6, 2008))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lastRenderedPageBreak/>
              <w:t>W.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Programs funded by Education for Homeless Children and Youth grants for State and Local Activities (title VII–B of the McKinney- Vento Homeless Assistance Act (42 U.S.C. 11431 et seq.))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X.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Programs funded by grants for the Benefit of Homeless Individuals (section 506 of the Public Health Services Act (42 U.S.C. 290aa– 5))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Y.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Healthcare for the Homeless (42 CFR part 51c)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Z.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 xml:space="preserve">Programs for Runaway and Homeless Youth (Runaway and Homeless Youth Act (42 U.S.C. 5701 </w:t>
            </w:r>
            <w:r w:rsidRPr="00110156">
              <w:rPr>
                <w:i/>
              </w:rPr>
              <w:t>et seq</w:t>
            </w:r>
            <w:r w:rsidRPr="00110156">
              <w:t>.))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AA.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Projects for Assistance in Transition from Homelessness programs (PATH) (part C of title V of the Public Health Service Act (42 U.S.C. 290cc–21 et seq.))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AB.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Emergency Food and Shelter Program (title III of the McKinney-Vento Homeless Assistance Act (42 U.S.C. 11331 et seq.))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AC.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Transitional Housing Assistance Grants for Victims of Sexual Assault, Domestic Violence, Dating Violence, and Stalking Program (section 40299 of the Violent Crime Control and Law Enforcement Act (42 U.S.C. 13975));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AD.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Homeless Veterans Reintegration Program (section 5(a)(1)) of the Homeless Veterans Comprehensive Assistance Act (38 U.S.C. 2021)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AE.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Programs funded with VA Homeless Providers grant and Per Diem Program (38 CFR part 61)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AF.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Health Care for Homeless Veterans Program (38 U.S.C. 2031)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AG.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Domiciliary Care for Homeless Veterans Program (38 U.S.C. 2043)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  <w:trHeight w:val="269"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AH.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Homeless Veterans Dental Program (38 U.S.C. 2062);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AI.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Supportive Services for Veteran Families Program (38 CFR part 62)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AJ.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Veteran Justice Outreach Initiative (38 U.S.C. 2031)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AK.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Public housing programs assisted under section 9 of the U.S. Housing Act of 1937 (42 U.S.C. 1437g) (24 CFR parts 905, 968, and 990);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AL.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Housing programs receiving tenant-based or project-based assistance under section 8 of the U.S. Housing Act of 1937 (42 U.S.C. 1437f) (respectively 24 CFR parts 982 and 983)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AM.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Supportive Housing for Persons with Disabilities (Section 811) (24 CFR part 891)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AN.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HOME Investment Partnerships Program (24 CFR part 92)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AO.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Temporary Assistance for Needy Families (TANF) (45 CFR parts 260– 265)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AP.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Health Center Program (42 CFR part 51c)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AQ.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State Children’s Health Insurance Program (42 CFR part 457)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AR.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Head Start (45 CFR chapter XIII, subchapter B)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lastRenderedPageBreak/>
              <w:t>AS.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Mental Health and Substance Abuse Block Grants (45 CFR part 96)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AT.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Services funded under the Workforce Investment Act (29 U.S.C. 2801 et seq.)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AU.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SSI/SSDI Outreach, Access and Recovery(SOAR) (SAMHSA)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  <w:tr w:rsidR="00C75781" w:rsidRPr="00110156" w:rsidTr="00ED0326">
        <w:trPr>
          <w:cantSplit/>
        </w:trPr>
        <w:tc>
          <w:tcPr>
            <w:tcW w:w="648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AV.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C75781" w:rsidRPr="00110156" w:rsidRDefault="00C75781" w:rsidP="00520C51">
            <w:r w:rsidRPr="00110156">
              <w:t>Community Support Programs for Persons with Severe and Persistent Mental Illnesses in Wisconsin (CSP) (63 WI §51.421)</w:t>
            </w:r>
          </w:p>
        </w:tc>
        <w:tc>
          <w:tcPr>
            <w:tcW w:w="3330" w:type="dxa"/>
            <w:shd w:val="clear" w:color="auto" w:fill="auto"/>
          </w:tcPr>
          <w:p w:rsidR="00C75781" w:rsidRPr="00110156" w:rsidRDefault="00C75781" w:rsidP="00520C51"/>
        </w:tc>
      </w:tr>
    </w:tbl>
    <w:p w:rsidR="001C211D" w:rsidRPr="00110156" w:rsidRDefault="001C211D" w:rsidP="00520C51"/>
    <w:p w:rsidR="006762EA" w:rsidRDefault="00C351A8" w:rsidP="00520C51">
      <w:pPr>
        <w:pStyle w:val="Heading1"/>
      </w:pPr>
      <w:r>
        <w:t>Part</w:t>
      </w:r>
      <w:r w:rsidR="00583575">
        <w:t xml:space="preserve"> 3: Special Competitive </w:t>
      </w:r>
      <w:r w:rsidR="00C746CA">
        <w:t xml:space="preserve">ESG </w:t>
      </w:r>
      <w:r w:rsidR="00583575">
        <w:t>Allocation</w:t>
      </w:r>
    </w:p>
    <w:p w:rsidR="00583575" w:rsidRDefault="00583575" w:rsidP="00583575"/>
    <w:p w:rsidR="00583575" w:rsidRDefault="00583575" w:rsidP="00583575">
      <w:r>
        <w:t xml:space="preserve">Is your COC interested in </w:t>
      </w:r>
      <w:r w:rsidR="00643ED7">
        <w:t xml:space="preserve">being considered for the Special Competitive </w:t>
      </w:r>
      <w:r w:rsidR="00C746CA">
        <w:t xml:space="preserve">ESG </w:t>
      </w:r>
      <w:r w:rsidR="00643ED7">
        <w:t>Allocation?</w:t>
      </w:r>
    </w:p>
    <w:p w:rsidR="00643ED7" w:rsidRDefault="00643ED7" w:rsidP="00583575"/>
    <w:p w:rsidR="00643ED7" w:rsidRDefault="00D035AE" w:rsidP="00583575">
      <w:r>
        <w:t>___</w:t>
      </w:r>
      <w:r w:rsidR="00643ED7" w:rsidRPr="00B76743">
        <w:t>YES</w:t>
      </w:r>
      <w:r w:rsidR="003E14A1">
        <w:t xml:space="preserve"> </w:t>
      </w:r>
      <w:r w:rsidR="00643ED7" w:rsidRPr="00B76743">
        <w:t xml:space="preserve"> </w:t>
      </w:r>
      <w:r>
        <w:t>___</w:t>
      </w:r>
      <w:r w:rsidR="00643ED7" w:rsidRPr="00B76743">
        <w:t>NO</w:t>
      </w:r>
    </w:p>
    <w:p w:rsidR="00643ED7" w:rsidRDefault="00643ED7" w:rsidP="00583575"/>
    <w:p w:rsidR="008E1B92" w:rsidRDefault="008079A8" w:rsidP="00583575">
      <w:r>
        <w:t xml:space="preserve">If </w:t>
      </w:r>
      <w:r w:rsidR="00BB576A">
        <w:t>y</w:t>
      </w:r>
      <w:r>
        <w:t xml:space="preserve">es, </w:t>
      </w:r>
      <w:r w:rsidR="00233499">
        <w:t>use the table and question below to</w:t>
      </w:r>
      <w:r w:rsidR="00BB576A">
        <w:t xml:space="preserve"> </w:t>
      </w:r>
      <w:r w:rsidR="002F29F0">
        <w:t>explain how</w:t>
      </w:r>
      <w:r w:rsidR="00233499">
        <w:t xml:space="preserve"> your COC would use</w:t>
      </w:r>
      <w:r w:rsidR="002F29F0">
        <w:t xml:space="preserve"> the </w:t>
      </w:r>
      <w:r w:rsidR="002F29F0" w:rsidRPr="003E14A1">
        <w:rPr>
          <w:highlight w:val="red"/>
        </w:rPr>
        <w:t>$40,000</w:t>
      </w:r>
      <w:r w:rsidR="002F29F0">
        <w:t xml:space="preserve"> Special Compe</w:t>
      </w:r>
      <w:r w:rsidR="008E1B92">
        <w:t xml:space="preserve">titive </w:t>
      </w:r>
      <w:r w:rsidR="00C746CA">
        <w:t xml:space="preserve">ESG </w:t>
      </w:r>
      <w:r w:rsidR="007A7A79">
        <w:t>Allocation.</w:t>
      </w:r>
      <w:r w:rsidR="003E14A1">
        <w:t xml:space="preserve"> </w:t>
      </w:r>
      <w:r w:rsidR="007A7A79">
        <w:t xml:space="preserve">A maximum of </w:t>
      </w:r>
      <w:r w:rsidR="007A7A79" w:rsidRPr="003E14A1">
        <w:rPr>
          <w:highlight w:val="red"/>
        </w:rPr>
        <w:t>$2</w:t>
      </w:r>
      <w:r w:rsidR="008E1B92" w:rsidRPr="003E14A1">
        <w:rPr>
          <w:highlight w:val="red"/>
        </w:rPr>
        <w:t>,000</w:t>
      </w:r>
      <w:r w:rsidR="008E1B92">
        <w:t xml:space="preserve"> may be requested for Administration. All activities</w:t>
      </w:r>
      <w:r w:rsidR="00ED0326">
        <w:t xml:space="preserve"> must be eligible ESG activities. </w:t>
      </w:r>
      <w:r w:rsidR="00233499">
        <w:t>Applicants</w:t>
      </w:r>
      <w:r w:rsidR="008E1B92">
        <w:t xml:space="preserve"> must be 201</w:t>
      </w:r>
      <w:r w:rsidR="003E14A1">
        <w:t>7</w:t>
      </w:r>
      <w:r w:rsidR="008E1B92">
        <w:t>-201</w:t>
      </w:r>
      <w:r w:rsidR="003E14A1">
        <w:t>8</w:t>
      </w:r>
      <w:bookmarkStart w:id="1" w:name="_GoBack"/>
      <w:bookmarkEnd w:id="1"/>
      <w:r w:rsidR="008E1B92">
        <w:t xml:space="preserve"> ETH applicants for “regular” ESG/HPP formula funds</w:t>
      </w:r>
      <w:r w:rsidR="00D035AE">
        <w:t xml:space="preserve"> and meet all ESG requirements</w:t>
      </w:r>
      <w:r w:rsidR="008E1B92">
        <w:t>.</w:t>
      </w:r>
      <w:r w:rsidR="003E14A1">
        <w:t xml:space="preserve"> </w:t>
      </w:r>
    </w:p>
    <w:p w:rsidR="008E1B92" w:rsidRDefault="008E1B92" w:rsidP="00583575"/>
    <w:p w:rsidR="00233499" w:rsidRDefault="008E1B92" w:rsidP="00583575">
      <w:r>
        <w:t>Please refer to the “ETH APP Consolidated Budget” spreadsheet if you need guidance as to what is considered an eligible activity.</w:t>
      </w:r>
      <w:r w:rsidR="003E14A1">
        <w:t xml:space="preserve"> </w:t>
      </w:r>
    </w:p>
    <w:p w:rsidR="00233499" w:rsidRDefault="00233499" w:rsidP="00583575"/>
    <w:p w:rsidR="00643ED7" w:rsidRDefault="00233499" w:rsidP="00583575">
      <w:r w:rsidRPr="00ED0326">
        <w:rPr>
          <w:b/>
        </w:rPr>
        <w:t>D</w:t>
      </w:r>
      <w:r w:rsidR="008E1B92" w:rsidRPr="00ED0326">
        <w:rPr>
          <w:b/>
        </w:rPr>
        <w:t>on’</w:t>
      </w:r>
      <w:r w:rsidR="00D035AE" w:rsidRPr="00ED0326">
        <w:rPr>
          <w:b/>
        </w:rPr>
        <w:t>t put anything from</w:t>
      </w:r>
      <w:r w:rsidR="008E1B92" w:rsidRPr="00ED0326">
        <w:rPr>
          <w:b/>
        </w:rPr>
        <w:t xml:space="preserve"> this table in your ETH APP Consolidated Budget</w:t>
      </w:r>
      <w:r w:rsidR="00ED0326">
        <w:t>: i</w:t>
      </w:r>
      <w:r w:rsidR="008E1B92">
        <w:t>f your COC is awarded the Special Competitive Allocation, the data in this table will be incorporated into your budget by the ETH Program Manager.</w:t>
      </w:r>
    </w:p>
    <w:p w:rsidR="008E1B92" w:rsidRDefault="008E1B92" w:rsidP="0058357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11"/>
        <w:gridCol w:w="2127"/>
        <w:gridCol w:w="1800"/>
        <w:gridCol w:w="2070"/>
        <w:gridCol w:w="2160"/>
      </w:tblGrid>
      <w:tr w:rsidR="008E1B92" w:rsidRPr="008E1B92" w:rsidTr="00ED0326">
        <w:trPr>
          <w:trHeight w:val="390"/>
          <w:jc w:val="center"/>
        </w:trPr>
        <w:tc>
          <w:tcPr>
            <w:tcW w:w="2211" w:type="dxa"/>
            <w:vMerge w:val="restart"/>
            <w:shd w:val="clear" w:color="auto" w:fill="000000" w:themeFill="text1"/>
            <w:vAlign w:val="bottom"/>
            <w:hideMark/>
          </w:tcPr>
          <w:p w:rsidR="008E1B92" w:rsidRPr="008E1B92" w:rsidRDefault="008E1B92" w:rsidP="008E1B92">
            <w:pPr>
              <w:rPr>
                <w:b/>
                <w:bCs/>
              </w:rPr>
            </w:pPr>
            <w:r w:rsidRPr="008E1B92">
              <w:rPr>
                <w:b/>
                <w:bCs/>
              </w:rPr>
              <w:t>Agency Name</w:t>
            </w:r>
          </w:p>
        </w:tc>
        <w:tc>
          <w:tcPr>
            <w:tcW w:w="2127" w:type="dxa"/>
            <w:vMerge w:val="restart"/>
            <w:shd w:val="clear" w:color="auto" w:fill="000000" w:themeFill="text1"/>
            <w:vAlign w:val="bottom"/>
            <w:hideMark/>
          </w:tcPr>
          <w:p w:rsidR="008E1B92" w:rsidRPr="008E1B92" w:rsidRDefault="008E1B92" w:rsidP="008E1B92">
            <w:pPr>
              <w:rPr>
                <w:b/>
                <w:bCs/>
              </w:rPr>
            </w:pPr>
            <w:r w:rsidRPr="008E1B92">
              <w:rPr>
                <w:b/>
                <w:bCs/>
              </w:rPr>
              <w:t>Project Name</w:t>
            </w:r>
          </w:p>
        </w:tc>
        <w:tc>
          <w:tcPr>
            <w:tcW w:w="1800" w:type="dxa"/>
            <w:vMerge w:val="restart"/>
            <w:shd w:val="clear" w:color="auto" w:fill="000000" w:themeFill="text1"/>
            <w:vAlign w:val="bottom"/>
            <w:hideMark/>
          </w:tcPr>
          <w:p w:rsidR="008E1B92" w:rsidRPr="008E1B92" w:rsidRDefault="008E1B92" w:rsidP="008E1B92">
            <w:pPr>
              <w:rPr>
                <w:b/>
                <w:bCs/>
              </w:rPr>
            </w:pPr>
            <w:r w:rsidRPr="008E1B92">
              <w:rPr>
                <w:b/>
                <w:bCs/>
              </w:rPr>
              <w:t>Activity Type</w:t>
            </w:r>
          </w:p>
        </w:tc>
        <w:tc>
          <w:tcPr>
            <w:tcW w:w="2070" w:type="dxa"/>
            <w:vMerge w:val="restart"/>
            <w:shd w:val="clear" w:color="auto" w:fill="000000" w:themeFill="text1"/>
            <w:vAlign w:val="bottom"/>
            <w:hideMark/>
          </w:tcPr>
          <w:p w:rsidR="008E1B92" w:rsidRPr="008E1B92" w:rsidRDefault="008E1B92" w:rsidP="008E1B92">
            <w:pPr>
              <w:rPr>
                <w:b/>
                <w:bCs/>
              </w:rPr>
            </w:pPr>
            <w:r w:rsidRPr="008E1B92">
              <w:rPr>
                <w:b/>
                <w:bCs/>
              </w:rPr>
              <w:t xml:space="preserve">Activity </w:t>
            </w:r>
          </w:p>
        </w:tc>
        <w:tc>
          <w:tcPr>
            <w:tcW w:w="2160" w:type="dxa"/>
            <w:vMerge w:val="restart"/>
            <w:shd w:val="clear" w:color="auto" w:fill="000000" w:themeFill="text1"/>
            <w:vAlign w:val="bottom"/>
            <w:hideMark/>
          </w:tcPr>
          <w:p w:rsidR="008E1B92" w:rsidRPr="008E1B92" w:rsidRDefault="008E1B92" w:rsidP="008E1B92">
            <w:pPr>
              <w:rPr>
                <w:b/>
                <w:bCs/>
              </w:rPr>
            </w:pPr>
            <w:r w:rsidRPr="008E1B92">
              <w:rPr>
                <w:b/>
                <w:bCs/>
              </w:rPr>
              <w:t>Funding Request</w:t>
            </w:r>
          </w:p>
        </w:tc>
      </w:tr>
      <w:tr w:rsidR="008E1B92" w:rsidRPr="008E1B92" w:rsidTr="00ED0326">
        <w:trPr>
          <w:trHeight w:val="291"/>
          <w:jc w:val="center"/>
        </w:trPr>
        <w:tc>
          <w:tcPr>
            <w:tcW w:w="2211" w:type="dxa"/>
            <w:vMerge/>
            <w:shd w:val="clear" w:color="auto" w:fill="000000" w:themeFill="text1"/>
            <w:hideMark/>
          </w:tcPr>
          <w:p w:rsidR="008E1B92" w:rsidRPr="008E1B92" w:rsidRDefault="008E1B92">
            <w:pPr>
              <w:rPr>
                <w:b/>
                <w:bCs/>
              </w:rPr>
            </w:pPr>
          </w:p>
        </w:tc>
        <w:tc>
          <w:tcPr>
            <w:tcW w:w="2127" w:type="dxa"/>
            <w:vMerge/>
            <w:shd w:val="clear" w:color="auto" w:fill="000000" w:themeFill="text1"/>
            <w:hideMark/>
          </w:tcPr>
          <w:p w:rsidR="008E1B92" w:rsidRPr="008E1B92" w:rsidRDefault="008E1B92">
            <w:pPr>
              <w:rPr>
                <w:b/>
                <w:bCs/>
              </w:rPr>
            </w:pPr>
          </w:p>
        </w:tc>
        <w:tc>
          <w:tcPr>
            <w:tcW w:w="1800" w:type="dxa"/>
            <w:vMerge/>
            <w:shd w:val="clear" w:color="auto" w:fill="000000" w:themeFill="text1"/>
            <w:hideMark/>
          </w:tcPr>
          <w:p w:rsidR="008E1B92" w:rsidRPr="008E1B92" w:rsidRDefault="008E1B92">
            <w:pPr>
              <w:rPr>
                <w:b/>
                <w:bCs/>
              </w:rPr>
            </w:pPr>
          </w:p>
        </w:tc>
        <w:tc>
          <w:tcPr>
            <w:tcW w:w="2070" w:type="dxa"/>
            <w:vMerge/>
            <w:shd w:val="clear" w:color="auto" w:fill="000000" w:themeFill="text1"/>
            <w:hideMark/>
          </w:tcPr>
          <w:p w:rsidR="008E1B92" w:rsidRPr="008E1B92" w:rsidRDefault="008E1B92">
            <w:pPr>
              <w:rPr>
                <w:b/>
                <w:bCs/>
              </w:rPr>
            </w:pPr>
          </w:p>
        </w:tc>
        <w:tc>
          <w:tcPr>
            <w:tcW w:w="2160" w:type="dxa"/>
            <w:vMerge/>
            <w:shd w:val="clear" w:color="auto" w:fill="000000" w:themeFill="text1"/>
            <w:hideMark/>
          </w:tcPr>
          <w:p w:rsidR="008E1B92" w:rsidRPr="008E1B92" w:rsidRDefault="008E1B92">
            <w:pPr>
              <w:rPr>
                <w:b/>
                <w:bCs/>
              </w:rPr>
            </w:pPr>
          </w:p>
        </w:tc>
      </w:tr>
      <w:tr w:rsidR="008E1B92" w:rsidRPr="008E1B92" w:rsidTr="00ED0326">
        <w:trPr>
          <w:trHeight w:val="315"/>
          <w:jc w:val="center"/>
        </w:trPr>
        <w:tc>
          <w:tcPr>
            <w:tcW w:w="2211" w:type="dxa"/>
            <w:noWrap/>
            <w:hideMark/>
          </w:tcPr>
          <w:p w:rsidR="008E1B92" w:rsidRPr="008E1B92" w:rsidRDefault="008E1B92" w:rsidP="008E1B92">
            <w:pPr>
              <w:rPr>
                <w:b/>
                <w:bCs/>
              </w:rPr>
            </w:pPr>
            <w:r w:rsidRPr="008E1B92">
              <w:rPr>
                <w:b/>
                <w:bCs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8E1B92" w:rsidRPr="008E1B92" w:rsidRDefault="008E1B92" w:rsidP="008E1B92">
            <w:pPr>
              <w:rPr>
                <w:b/>
                <w:bCs/>
              </w:rPr>
            </w:pPr>
            <w:r w:rsidRPr="008E1B92">
              <w:rPr>
                <w:b/>
                <w:bCs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8E1B92" w:rsidRPr="008E1B92" w:rsidRDefault="008E1B92">
            <w:r w:rsidRPr="008E1B92">
              <w:t> </w:t>
            </w:r>
          </w:p>
        </w:tc>
        <w:tc>
          <w:tcPr>
            <w:tcW w:w="2070" w:type="dxa"/>
            <w:noWrap/>
            <w:hideMark/>
          </w:tcPr>
          <w:p w:rsidR="008E1B92" w:rsidRPr="008E1B92" w:rsidRDefault="008E1B92">
            <w:r w:rsidRPr="008E1B92">
              <w:t> </w:t>
            </w:r>
          </w:p>
        </w:tc>
        <w:tc>
          <w:tcPr>
            <w:tcW w:w="2160" w:type="dxa"/>
            <w:noWrap/>
            <w:hideMark/>
          </w:tcPr>
          <w:p w:rsidR="008E1B92" w:rsidRPr="008E1B92" w:rsidRDefault="008E1B92" w:rsidP="008E1B92">
            <w:r w:rsidRPr="008E1B92">
              <w:t> </w:t>
            </w:r>
          </w:p>
        </w:tc>
      </w:tr>
      <w:tr w:rsidR="008E1B92" w:rsidRPr="008E1B92" w:rsidTr="00ED0326">
        <w:trPr>
          <w:trHeight w:val="315"/>
          <w:jc w:val="center"/>
        </w:trPr>
        <w:tc>
          <w:tcPr>
            <w:tcW w:w="2211" w:type="dxa"/>
            <w:noWrap/>
            <w:hideMark/>
          </w:tcPr>
          <w:p w:rsidR="008E1B92" w:rsidRPr="008E1B92" w:rsidRDefault="008E1B92" w:rsidP="008E1B92">
            <w:pPr>
              <w:rPr>
                <w:b/>
                <w:bCs/>
              </w:rPr>
            </w:pPr>
            <w:r w:rsidRPr="008E1B92">
              <w:rPr>
                <w:b/>
                <w:bCs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8E1B92" w:rsidRPr="008E1B92" w:rsidRDefault="008E1B92" w:rsidP="008E1B92">
            <w:pPr>
              <w:rPr>
                <w:b/>
                <w:bCs/>
              </w:rPr>
            </w:pPr>
            <w:r w:rsidRPr="008E1B92">
              <w:rPr>
                <w:b/>
                <w:bCs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8E1B92" w:rsidRPr="008E1B92" w:rsidRDefault="008E1B92">
            <w:r w:rsidRPr="008E1B92">
              <w:t> </w:t>
            </w:r>
          </w:p>
        </w:tc>
        <w:tc>
          <w:tcPr>
            <w:tcW w:w="2070" w:type="dxa"/>
            <w:noWrap/>
            <w:hideMark/>
          </w:tcPr>
          <w:p w:rsidR="008E1B92" w:rsidRPr="008E1B92" w:rsidRDefault="008E1B92">
            <w:r w:rsidRPr="008E1B92">
              <w:t> </w:t>
            </w:r>
          </w:p>
        </w:tc>
        <w:tc>
          <w:tcPr>
            <w:tcW w:w="2160" w:type="dxa"/>
            <w:noWrap/>
            <w:hideMark/>
          </w:tcPr>
          <w:p w:rsidR="008E1B92" w:rsidRPr="008E1B92" w:rsidRDefault="008E1B92" w:rsidP="008E1B92">
            <w:r w:rsidRPr="008E1B92">
              <w:t> </w:t>
            </w:r>
          </w:p>
        </w:tc>
      </w:tr>
      <w:tr w:rsidR="008E1B92" w:rsidRPr="008E1B92" w:rsidTr="00ED0326">
        <w:trPr>
          <w:trHeight w:val="315"/>
          <w:jc w:val="center"/>
        </w:trPr>
        <w:tc>
          <w:tcPr>
            <w:tcW w:w="2211" w:type="dxa"/>
            <w:noWrap/>
            <w:hideMark/>
          </w:tcPr>
          <w:p w:rsidR="008E1B92" w:rsidRPr="008E1B92" w:rsidRDefault="008E1B92" w:rsidP="008E1B92">
            <w:pPr>
              <w:rPr>
                <w:b/>
                <w:bCs/>
              </w:rPr>
            </w:pPr>
            <w:r w:rsidRPr="008E1B92">
              <w:rPr>
                <w:b/>
                <w:bCs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8E1B92" w:rsidRPr="008E1B92" w:rsidRDefault="008E1B92" w:rsidP="008E1B92">
            <w:pPr>
              <w:rPr>
                <w:b/>
                <w:bCs/>
              </w:rPr>
            </w:pPr>
            <w:r w:rsidRPr="008E1B92">
              <w:rPr>
                <w:b/>
                <w:bCs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8E1B92" w:rsidRPr="008E1B92" w:rsidRDefault="008E1B92">
            <w:r w:rsidRPr="008E1B92">
              <w:t> </w:t>
            </w:r>
          </w:p>
        </w:tc>
        <w:tc>
          <w:tcPr>
            <w:tcW w:w="2070" w:type="dxa"/>
            <w:noWrap/>
            <w:hideMark/>
          </w:tcPr>
          <w:p w:rsidR="008E1B92" w:rsidRPr="008E1B92" w:rsidRDefault="008E1B92">
            <w:r w:rsidRPr="008E1B92">
              <w:t> </w:t>
            </w:r>
          </w:p>
        </w:tc>
        <w:tc>
          <w:tcPr>
            <w:tcW w:w="2160" w:type="dxa"/>
            <w:noWrap/>
            <w:hideMark/>
          </w:tcPr>
          <w:p w:rsidR="008E1B92" w:rsidRPr="008E1B92" w:rsidRDefault="008E1B92" w:rsidP="008E1B92">
            <w:r w:rsidRPr="008E1B92">
              <w:t> </w:t>
            </w:r>
          </w:p>
        </w:tc>
      </w:tr>
      <w:tr w:rsidR="008E1B92" w:rsidRPr="008E1B92" w:rsidTr="00ED0326">
        <w:trPr>
          <w:trHeight w:val="315"/>
          <w:jc w:val="center"/>
        </w:trPr>
        <w:tc>
          <w:tcPr>
            <w:tcW w:w="2211" w:type="dxa"/>
            <w:noWrap/>
            <w:hideMark/>
          </w:tcPr>
          <w:p w:rsidR="008E1B92" w:rsidRPr="008E1B92" w:rsidRDefault="008E1B92" w:rsidP="008E1B92">
            <w:pPr>
              <w:rPr>
                <w:b/>
                <w:bCs/>
              </w:rPr>
            </w:pPr>
            <w:r w:rsidRPr="008E1B92">
              <w:rPr>
                <w:b/>
                <w:bCs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8E1B92" w:rsidRPr="008E1B92" w:rsidRDefault="008E1B92" w:rsidP="008E1B92">
            <w:pPr>
              <w:rPr>
                <w:b/>
                <w:bCs/>
              </w:rPr>
            </w:pPr>
            <w:r w:rsidRPr="008E1B92">
              <w:rPr>
                <w:b/>
                <w:bCs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8E1B92" w:rsidRPr="008E1B92" w:rsidRDefault="008E1B92">
            <w:r w:rsidRPr="008E1B92">
              <w:t> </w:t>
            </w:r>
          </w:p>
        </w:tc>
        <w:tc>
          <w:tcPr>
            <w:tcW w:w="2070" w:type="dxa"/>
            <w:noWrap/>
            <w:hideMark/>
          </w:tcPr>
          <w:p w:rsidR="008E1B92" w:rsidRPr="008E1B92" w:rsidRDefault="008E1B92">
            <w:r w:rsidRPr="008E1B92">
              <w:t> </w:t>
            </w:r>
          </w:p>
        </w:tc>
        <w:tc>
          <w:tcPr>
            <w:tcW w:w="2160" w:type="dxa"/>
            <w:noWrap/>
            <w:hideMark/>
          </w:tcPr>
          <w:p w:rsidR="008E1B92" w:rsidRPr="008E1B92" w:rsidRDefault="008E1B92" w:rsidP="008E1B92">
            <w:r w:rsidRPr="008E1B92">
              <w:t> </w:t>
            </w:r>
          </w:p>
        </w:tc>
      </w:tr>
      <w:tr w:rsidR="008E1B92" w:rsidRPr="008E1B92" w:rsidTr="00ED0326">
        <w:trPr>
          <w:trHeight w:val="77"/>
          <w:jc w:val="center"/>
        </w:trPr>
        <w:tc>
          <w:tcPr>
            <w:tcW w:w="2211" w:type="dxa"/>
            <w:noWrap/>
            <w:hideMark/>
          </w:tcPr>
          <w:p w:rsidR="008E1B92" w:rsidRPr="008E1B92" w:rsidRDefault="008E1B92" w:rsidP="008E1B92">
            <w:pPr>
              <w:rPr>
                <w:b/>
                <w:bCs/>
              </w:rPr>
            </w:pPr>
            <w:r w:rsidRPr="008E1B92">
              <w:rPr>
                <w:b/>
                <w:bCs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8E1B92" w:rsidRPr="008E1B92" w:rsidRDefault="008E1B92" w:rsidP="008E1B92">
            <w:pPr>
              <w:rPr>
                <w:b/>
                <w:bCs/>
              </w:rPr>
            </w:pPr>
            <w:r w:rsidRPr="008E1B92">
              <w:rPr>
                <w:b/>
                <w:bCs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8E1B92" w:rsidRPr="008E1B92" w:rsidRDefault="008E1B92">
            <w:r w:rsidRPr="008E1B92">
              <w:t> </w:t>
            </w:r>
          </w:p>
        </w:tc>
        <w:tc>
          <w:tcPr>
            <w:tcW w:w="2070" w:type="dxa"/>
            <w:noWrap/>
            <w:hideMark/>
          </w:tcPr>
          <w:p w:rsidR="008E1B92" w:rsidRPr="008E1B92" w:rsidRDefault="008E1B92">
            <w:r w:rsidRPr="008E1B92">
              <w:t> </w:t>
            </w:r>
          </w:p>
        </w:tc>
        <w:tc>
          <w:tcPr>
            <w:tcW w:w="2160" w:type="dxa"/>
            <w:noWrap/>
            <w:hideMark/>
          </w:tcPr>
          <w:p w:rsidR="008E1B92" w:rsidRPr="008E1B92" w:rsidRDefault="008E1B92" w:rsidP="008E1B92">
            <w:r w:rsidRPr="008E1B92">
              <w:t> </w:t>
            </w:r>
          </w:p>
        </w:tc>
      </w:tr>
    </w:tbl>
    <w:p w:rsidR="008E1B92" w:rsidRDefault="008E1B92" w:rsidP="0058357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D035AE" w:rsidRPr="00110156" w:rsidTr="00ED0326">
        <w:trPr>
          <w:jc w:val="center"/>
        </w:trPr>
        <w:tc>
          <w:tcPr>
            <w:tcW w:w="10377" w:type="dxa"/>
            <w:shd w:val="clear" w:color="auto" w:fill="000000"/>
          </w:tcPr>
          <w:p w:rsidR="00D035AE" w:rsidRPr="00110156" w:rsidRDefault="00D035AE" w:rsidP="00D035AE">
            <w:r>
              <w:t>How will the funding request described in the table above help your COC improve system performance as described in Part 1 Question A?</w:t>
            </w:r>
            <w:r w:rsidR="003E14A1">
              <w:t xml:space="preserve"> </w:t>
            </w:r>
            <w:r w:rsidRPr="00110156">
              <w:t xml:space="preserve"> </w:t>
            </w:r>
          </w:p>
        </w:tc>
      </w:tr>
      <w:tr w:rsidR="00D035AE" w:rsidRPr="00110156" w:rsidTr="00ED0326">
        <w:trPr>
          <w:trHeight w:val="53"/>
          <w:jc w:val="center"/>
        </w:trPr>
        <w:tc>
          <w:tcPr>
            <w:tcW w:w="10377" w:type="dxa"/>
            <w:shd w:val="clear" w:color="auto" w:fill="auto"/>
          </w:tcPr>
          <w:p w:rsidR="00D035AE" w:rsidRDefault="00D035AE" w:rsidP="00505C89"/>
          <w:p w:rsidR="00D035AE" w:rsidRPr="00110156" w:rsidRDefault="00D035AE" w:rsidP="00505C89"/>
        </w:tc>
      </w:tr>
    </w:tbl>
    <w:p w:rsidR="00D035AE" w:rsidRPr="00583575" w:rsidRDefault="00D035AE" w:rsidP="00583575"/>
    <w:sectPr w:rsidR="00D035AE" w:rsidRPr="00583575" w:rsidSect="00110156">
      <w:footerReference w:type="default" r:id="rId8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C9D" w:rsidRDefault="00260C9D" w:rsidP="00520C51">
      <w:r>
        <w:separator/>
      </w:r>
    </w:p>
  </w:endnote>
  <w:endnote w:type="continuationSeparator" w:id="0">
    <w:p w:rsidR="00260C9D" w:rsidRDefault="00260C9D" w:rsidP="0052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366" w:rsidRPr="00D31E4D" w:rsidRDefault="00CC3B0C" w:rsidP="00520C51">
    <w:pPr>
      <w:pStyle w:val="Footer"/>
      <w:rPr>
        <w:sz w:val="18"/>
        <w:szCs w:val="18"/>
      </w:rPr>
    </w:pPr>
    <w:r w:rsidRPr="00D31E4D">
      <w:rPr>
        <w:sz w:val="18"/>
        <w:szCs w:val="18"/>
      </w:rPr>
      <w:t>Continuum Performance</w:t>
    </w:r>
    <w:r w:rsidR="00107366" w:rsidRPr="00D31E4D">
      <w:rPr>
        <w:sz w:val="18"/>
        <w:szCs w:val="18"/>
      </w:rPr>
      <w:tab/>
    </w:r>
    <w:r w:rsidR="003E14A1">
      <w:rPr>
        <w:sz w:val="18"/>
        <w:szCs w:val="18"/>
      </w:rPr>
      <w:t xml:space="preserve">             </w:t>
    </w:r>
    <w:r w:rsidR="00107366" w:rsidRPr="00D31E4D">
      <w:rPr>
        <w:rStyle w:val="PageNumber"/>
        <w:sz w:val="18"/>
        <w:szCs w:val="18"/>
      </w:rPr>
      <w:fldChar w:fldCharType="begin"/>
    </w:r>
    <w:r w:rsidR="00107366" w:rsidRPr="00D31E4D">
      <w:rPr>
        <w:rStyle w:val="PageNumber"/>
        <w:sz w:val="18"/>
        <w:szCs w:val="18"/>
      </w:rPr>
      <w:instrText xml:space="preserve"> PAGE </w:instrText>
    </w:r>
    <w:r w:rsidR="00107366" w:rsidRPr="00D31E4D">
      <w:rPr>
        <w:rStyle w:val="PageNumber"/>
        <w:sz w:val="18"/>
        <w:szCs w:val="18"/>
      </w:rPr>
      <w:fldChar w:fldCharType="separate"/>
    </w:r>
    <w:r w:rsidR="003E14A1">
      <w:rPr>
        <w:rStyle w:val="PageNumber"/>
        <w:noProof/>
        <w:sz w:val="18"/>
        <w:szCs w:val="18"/>
      </w:rPr>
      <w:t>5</w:t>
    </w:r>
    <w:r w:rsidR="00107366" w:rsidRPr="00D31E4D">
      <w:rPr>
        <w:rStyle w:val="PageNumber"/>
        <w:sz w:val="18"/>
        <w:szCs w:val="18"/>
      </w:rPr>
      <w:fldChar w:fldCharType="end"/>
    </w:r>
    <w:r w:rsidR="00107366" w:rsidRPr="00D31E4D">
      <w:rPr>
        <w:sz w:val="18"/>
        <w:szCs w:val="18"/>
      </w:rPr>
      <w:tab/>
    </w:r>
  </w:p>
  <w:p w:rsidR="00107366" w:rsidRPr="003E14A1" w:rsidRDefault="00643ED7" w:rsidP="00520C51">
    <w:pPr>
      <w:pStyle w:val="Footer"/>
      <w:rPr>
        <w:sz w:val="18"/>
        <w:szCs w:val="18"/>
      </w:rPr>
    </w:pPr>
    <w:r w:rsidRPr="00D31E4D">
      <w:rPr>
        <w:sz w:val="18"/>
        <w:szCs w:val="18"/>
      </w:rPr>
      <w:t>201</w:t>
    </w:r>
    <w:r w:rsidR="003E14A1">
      <w:rPr>
        <w:sz w:val="18"/>
        <w:szCs w:val="18"/>
      </w:rPr>
      <w:t>7</w:t>
    </w:r>
    <w:r w:rsidRPr="00D31E4D">
      <w:rPr>
        <w:sz w:val="18"/>
        <w:szCs w:val="18"/>
      </w:rPr>
      <w:t>-201</w:t>
    </w:r>
    <w:r w:rsidR="003E14A1">
      <w:rPr>
        <w:sz w:val="18"/>
        <w:szCs w:val="18"/>
      </w:rPr>
      <w:t>8</w:t>
    </w:r>
    <w:r w:rsidRPr="00D31E4D">
      <w:rPr>
        <w:sz w:val="18"/>
        <w:szCs w:val="18"/>
      </w:rPr>
      <w:t xml:space="preserve"> ETH </w:t>
    </w:r>
    <w:r w:rsidR="00107366" w:rsidRPr="00D31E4D">
      <w:rPr>
        <w:sz w:val="18"/>
        <w:szCs w:val="18"/>
      </w:rPr>
      <w:t>Application</w:t>
    </w:r>
    <w:r w:rsidR="00107366" w:rsidRPr="00B55EBC">
      <w:tab/>
    </w:r>
    <w:r w:rsidR="00107366" w:rsidRPr="00B55EBC">
      <w:tab/>
    </w:r>
    <w:r w:rsidR="00107366" w:rsidRPr="00B55EBC">
      <w:tab/>
    </w:r>
    <w:r w:rsidR="00107366" w:rsidRPr="00B55EB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C9D" w:rsidRDefault="00260C9D" w:rsidP="00520C51">
      <w:r>
        <w:separator/>
      </w:r>
    </w:p>
  </w:footnote>
  <w:footnote w:type="continuationSeparator" w:id="0">
    <w:p w:rsidR="00260C9D" w:rsidRDefault="00260C9D" w:rsidP="0052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6CE"/>
    <w:multiLevelType w:val="hybridMultilevel"/>
    <w:tmpl w:val="DE2CD6F6"/>
    <w:lvl w:ilvl="0" w:tplc="BB02C25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411E1"/>
    <w:multiLevelType w:val="hybridMultilevel"/>
    <w:tmpl w:val="D4C65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0B2C"/>
    <w:multiLevelType w:val="hybridMultilevel"/>
    <w:tmpl w:val="70806718"/>
    <w:lvl w:ilvl="0" w:tplc="4A5C28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3029C"/>
    <w:multiLevelType w:val="hybridMultilevel"/>
    <w:tmpl w:val="DC2881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C1450"/>
    <w:multiLevelType w:val="hybridMultilevel"/>
    <w:tmpl w:val="6F929C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D2679"/>
    <w:multiLevelType w:val="hybridMultilevel"/>
    <w:tmpl w:val="68DA11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87989"/>
    <w:multiLevelType w:val="hybridMultilevel"/>
    <w:tmpl w:val="0A90BB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55428"/>
    <w:multiLevelType w:val="hybridMultilevel"/>
    <w:tmpl w:val="7864F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794B"/>
    <w:multiLevelType w:val="hybridMultilevel"/>
    <w:tmpl w:val="F8EAF504"/>
    <w:lvl w:ilvl="0" w:tplc="2D42AD2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F3B24"/>
    <w:multiLevelType w:val="hybridMultilevel"/>
    <w:tmpl w:val="399EC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008AC"/>
    <w:multiLevelType w:val="hybridMultilevel"/>
    <w:tmpl w:val="7C02FCC4"/>
    <w:lvl w:ilvl="0" w:tplc="BA18C6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E0341"/>
    <w:multiLevelType w:val="hybridMultilevel"/>
    <w:tmpl w:val="1A66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30AC4"/>
    <w:multiLevelType w:val="hybridMultilevel"/>
    <w:tmpl w:val="3D16C7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737F9"/>
    <w:multiLevelType w:val="hybridMultilevel"/>
    <w:tmpl w:val="C0806E8A"/>
    <w:lvl w:ilvl="0" w:tplc="2A6CC4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2F47BE"/>
    <w:multiLevelType w:val="hybridMultilevel"/>
    <w:tmpl w:val="62D2929E"/>
    <w:lvl w:ilvl="0" w:tplc="1F602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F1BD3"/>
    <w:multiLevelType w:val="hybridMultilevel"/>
    <w:tmpl w:val="95E639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56A3A"/>
    <w:multiLevelType w:val="hybridMultilevel"/>
    <w:tmpl w:val="9760BDE4"/>
    <w:lvl w:ilvl="0" w:tplc="1304F6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54CF3"/>
    <w:multiLevelType w:val="hybridMultilevel"/>
    <w:tmpl w:val="16E24F5C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i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B7169"/>
    <w:multiLevelType w:val="hybridMultilevel"/>
    <w:tmpl w:val="DE2CD6F6"/>
    <w:lvl w:ilvl="0" w:tplc="BB02C25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66173"/>
    <w:multiLevelType w:val="hybridMultilevel"/>
    <w:tmpl w:val="67B290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D7A80"/>
    <w:multiLevelType w:val="hybridMultilevel"/>
    <w:tmpl w:val="8AB0EF7C"/>
    <w:lvl w:ilvl="0" w:tplc="337225A4">
      <w:start w:val="4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4449"/>
    <w:multiLevelType w:val="hybridMultilevel"/>
    <w:tmpl w:val="AE928C00"/>
    <w:lvl w:ilvl="0" w:tplc="A5A8B068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505C6"/>
    <w:multiLevelType w:val="hybridMultilevel"/>
    <w:tmpl w:val="3A1E008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5E5660C0"/>
    <w:multiLevelType w:val="hybridMultilevel"/>
    <w:tmpl w:val="C99269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AE3056"/>
    <w:multiLevelType w:val="hybridMultilevel"/>
    <w:tmpl w:val="95E639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81572"/>
    <w:multiLevelType w:val="hybridMultilevel"/>
    <w:tmpl w:val="86EA4746"/>
    <w:lvl w:ilvl="0" w:tplc="05749C8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F013D"/>
    <w:multiLevelType w:val="hybridMultilevel"/>
    <w:tmpl w:val="3A8A45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0"/>
  </w:num>
  <w:num w:numId="4">
    <w:abstractNumId w:val="25"/>
  </w:num>
  <w:num w:numId="5">
    <w:abstractNumId w:val="14"/>
  </w:num>
  <w:num w:numId="6">
    <w:abstractNumId w:val="13"/>
  </w:num>
  <w:num w:numId="7">
    <w:abstractNumId w:val="7"/>
  </w:num>
  <w:num w:numId="8">
    <w:abstractNumId w:val="3"/>
  </w:num>
  <w:num w:numId="9">
    <w:abstractNumId w:val="15"/>
  </w:num>
  <w:num w:numId="10">
    <w:abstractNumId w:val="24"/>
  </w:num>
  <w:num w:numId="11">
    <w:abstractNumId w:val="26"/>
  </w:num>
  <w:num w:numId="12">
    <w:abstractNumId w:val="19"/>
  </w:num>
  <w:num w:numId="13">
    <w:abstractNumId w:val="11"/>
  </w:num>
  <w:num w:numId="14">
    <w:abstractNumId w:val="21"/>
  </w:num>
  <w:num w:numId="15">
    <w:abstractNumId w:val="17"/>
  </w:num>
  <w:num w:numId="16">
    <w:abstractNumId w:val="16"/>
  </w:num>
  <w:num w:numId="17">
    <w:abstractNumId w:val="18"/>
  </w:num>
  <w:num w:numId="18">
    <w:abstractNumId w:val="8"/>
  </w:num>
  <w:num w:numId="19">
    <w:abstractNumId w:val="0"/>
  </w:num>
  <w:num w:numId="20">
    <w:abstractNumId w:val="5"/>
  </w:num>
  <w:num w:numId="21">
    <w:abstractNumId w:val="2"/>
  </w:num>
  <w:num w:numId="22">
    <w:abstractNumId w:val="9"/>
  </w:num>
  <w:num w:numId="23">
    <w:abstractNumId w:val="4"/>
  </w:num>
  <w:num w:numId="24">
    <w:abstractNumId w:val="22"/>
  </w:num>
  <w:num w:numId="25">
    <w:abstractNumId w:val="12"/>
  </w:num>
  <w:num w:numId="26">
    <w:abstractNumId w:val="2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3D"/>
    <w:rsid w:val="00015E52"/>
    <w:rsid w:val="00021E3C"/>
    <w:rsid w:val="00026F95"/>
    <w:rsid w:val="000519AE"/>
    <w:rsid w:val="00053CF2"/>
    <w:rsid w:val="000627E6"/>
    <w:rsid w:val="00065AA2"/>
    <w:rsid w:val="00066C54"/>
    <w:rsid w:val="0008268A"/>
    <w:rsid w:val="000A2267"/>
    <w:rsid w:val="000A71F2"/>
    <w:rsid w:val="000F122D"/>
    <w:rsid w:val="00105323"/>
    <w:rsid w:val="00106236"/>
    <w:rsid w:val="00107366"/>
    <w:rsid w:val="00110156"/>
    <w:rsid w:val="001166AE"/>
    <w:rsid w:val="00126895"/>
    <w:rsid w:val="00143299"/>
    <w:rsid w:val="001628D2"/>
    <w:rsid w:val="00174D31"/>
    <w:rsid w:val="0018293E"/>
    <w:rsid w:val="001A22A7"/>
    <w:rsid w:val="001C211D"/>
    <w:rsid w:val="001D6F8A"/>
    <w:rsid w:val="00202DF0"/>
    <w:rsid w:val="002030D5"/>
    <w:rsid w:val="00207880"/>
    <w:rsid w:val="00230F90"/>
    <w:rsid w:val="00233499"/>
    <w:rsid w:val="00237CB1"/>
    <w:rsid w:val="00245A3C"/>
    <w:rsid w:val="0025250D"/>
    <w:rsid w:val="0025290A"/>
    <w:rsid w:val="00252E16"/>
    <w:rsid w:val="00260C9D"/>
    <w:rsid w:val="002640DA"/>
    <w:rsid w:val="00280CD9"/>
    <w:rsid w:val="002E5B3E"/>
    <w:rsid w:val="002E7B0B"/>
    <w:rsid w:val="002F0D69"/>
    <w:rsid w:val="002F29F0"/>
    <w:rsid w:val="00332165"/>
    <w:rsid w:val="003435C2"/>
    <w:rsid w:val="00352761"/>
    <w:rsid w:val="00360204"/>
    <w:rsid w:val="00377999"/>
    <w:rsid w:val="00380DDC"/>
    <w:rsid w:val="0039502D"/>
    <w:rsid w:val="003950F8"/>
    <w:rsid w:val="003954FD"/>
    <w:rsid w:val="003A645D"/>
    <w:rsid w:val="003B189D"/>
    <w:rsid w:val="003B2589"/>
    <w:rsid w:val="003D7173"/>
    <w:rsid w:val="003E14A1"/>
    <w:rsid w:val="00400A66"/>
    <w:rsid w:val="0040741C"/>
    <w:rsid w:val="004268CC"/>
    <w:rsid w:val="00450F64"/>
    <w:rsid w:val="00452863"/>
    <w:rsid w:val="004531D9"/>
    <w:rsid w:val="00475886"/>
    <w:rsid w:val="004774A8"/>
    <w:rsid w:val="00481AFE"/>
    <w:rsid w:val="004B0F41"/>
    <w:rsid w:val="004C2E02"/>
    <w:rsid w:val="004C4ECE"/>
    <w:rsid w:val="004E531F"/>
    <w:rsid w:val="005158D9"/>
    <w:rsid w:val="00520C51"/>
    <w:rsid w:val="00534068"/>
    <w:rsid w:val="00543DD0"/>
    <w:rsid w:val="005517A1"/>
    <w:rsid w:val="00557621"/>
    <w:rsid w:val="00563EF4"/>
    <w:rsid w:val="00571723"/>
    <w:rsid w:val="005768B3"/>
    <w:rsid w:val="00583575"/>
    <w:rsid w:val="00596FD5"/>
    <w:rsid w:val="005B0C7D"/>
    <w:rsid w:val="005B5DD6"/>
    <w:rsid w:val="005B6EE7"/>
    <w:rsid w:val="005C6965"/>
    <w:rsid w:val="005C6D85"/>
    <w:rsid w:val="005C7D93"/>
    <w:rsid w:val="0060348F"/>
    <w:rsid w:val="00614FE2"/>
    <w:rsid w:val="0064052F"/>
    <w:rsid w:val="00643ED7"/>
    <w:rsid w:val="006762EA"/>
    <w:rsid w:val="00681BF4"/>
    <w:rsid w:val="006A4DA8"/>
    <w:rsid w:val="006C5AB2"/>
    <w:rsid w:val="0071249C"/>
    <w:rsid w:val="00731439"/>
    <w:rsid w:val="00777E7C"/>
    <w:rsid w:val="007813FD"/>
    <w:rsid w:val="00786DB3"/>
    <w:rsid w:val="00796E5A"/>
    <w:rsid w:val="007A2723"/>
    <w:rsid w:val="007A7A79"/>
    <w:rsid w:val="007E78B9"/>
    <w:rsid w:val="007E7CFE"/>
    <w:rsid w:val="007F1F71"/>
    <w:rsid w:val="008079A8"/>
    <w:rsid w:val="00814F8B"/>
    <w:rsid w:val="00822446"/>
    <w:rsid w:val="008335A8"/>
    <w:rsid w:val="008457A1"/>
    <w:rsid w:val="0085155C"/>
    <w:rsid w:val="00851C7B"/>
    <w:rsid w:val="00882759"/>
    <w:rsid w:val="00887C12"/>
    <w:rsid w:val="0089544E"/>
    <w:rsid w:val="008B0E00"/>
    <w:rsid w:val="008C56E9"/>
    <w:rsid w:val="008C7BEE"/>
    <w:rsid w:val="008D579F"/>
    <w:rsid w:val="008E1B92"/>
    <w:rsid w:val="008E7731"/>
    <w:rsid w:val="00900AAA"/>
    <w:rsid w:val="00903614"/>
    <w:rsid w:val="0095159F"/>
    <w:rsid w:val="009546B7"/>
    <w:rsid w:val="0099743C"/>
    <w:rsid w:val="009B2F7C"/>
    <w:rsid w:val="009B55DE"/>
    <w:rsid w:val="009B6D22"/>
    <w:rsid w:val="009C28BC"/>
    <w:rsid w:val="009D2CF4"/>
    <w:rsid w:val="009D4635"/>
    <w:rsid w:val="009E6196"/>
    <w:rsid w:val="00A12DF0"/>
    <w:rsid w:val="00A2758D"/>
    <w:rsid w:val="00A27646"/>
    <w:rsid w:val="00A46601"/>
    <w:rsid w:val="00A54147"/>
    <w:rsid w:val="00A57C3C"/>
    <w:rsid w:val="00A61289"/>
    <w:rsid w:val="00A727C5"/>
    <w:rsid w:val="00A8626A"/>
    <w:rsid w:val="00AB2C19"/>
    <w:rsid w:val="00AD3331"/>
    <w:rsid w:val="00AE592B"/>
    <w:rsid w:val="00AE5BD6"/>
    <w:rsid w:val="00AE7092"/>
    <w:rsid w:val="00AF120E"/>
    <w:rsid w:val="00AF5E98"/>
    <w:rsid w:val="00AF7592"/>
    <w:rsid w:val="00B35A06"/>
    <w:rsid w:val="00B35F76"/>
    <w:rsid w:val="00B42195"/>
    <w:rsid w:val="00B55D18"/>
    <w:rsid w:val="00B55EBC"/>
    <w:rsid w:val="00B67FDC"/>
    <w:rsid w:val="00B74F27"/>
    <w:rsid w:val="00BA36E3"/>
    <w:rsid w:val="00BB2742"/>
    <w:rsid w:val="00BB576A"/>
    <w:rsid w:val="00BD65FE"/>
    <w:rsid w:val="00BE073D"/>
    <w:rsid w:val="00C02D59"/>
    <w:rsid w:val="00C037FB"/>
    <w:rsid w:val="00C21C58"/>
    <w:rsid w:val="00C351A8"/>
    <w:rsid w:val="00C43909"/>
    <w:rsid w:val="00C67B65"/>
    <w:rsid w:val="00C746CA"/>
    <w:rsid w:val="00C75781"/>
    <w:rsid w:val="00C87B26"/>
    <w:rsid w:val="00C933A6"/>
    <w:rsid w:val="00C96F6B"/>
    <w:rsid w:val="00CC3B0C"/>
    <w:rsid w:val="00CD54F5"/>
    <w:rsid w:val="00CD6C09"/>
    <w:rsid w:val="00CE58FD"/>
    <w:rsid w:val="00D02483"/>
    <w:rsid w:val="00D035AE"/>
    <w:rsid w:val="00D139E5"/>
    <w:rsid w:val="00D15F2B"/>
    <w:rsid w:val="00D31E4D"/>
    <w:rsid w:val="00D35DB5"/>
    <w:rsid w:val="00D6157F"/>
    <w:rsid w:val="00D855B3"/>
    <w:rsid w:val="00D91F66"/>
    <w:rsid w:val="00DA1288"/>
    <w:rsid w:val="00DA7A71"/>
    <w:rsid w:val="00DA7B0F"/>
    <w:rsid w:val="00DE0E56"/>
    <w:rsid w:val="00DE2F5A"/>
    <w:rsid w:val="00DE4149"/>
    <w:rsid w:val="00E236AB"/>
    <w:rsid w:val="00E24A6B"/>
    <w:rsid w:val="00E52609"/>
    <w:rsid w:val="00E52B7C"/>
    <w:rsid w:val="00E778D4"/>
    <w:rsid w:val="00E93EE3"/>
    <w:rsid w:val="00E94C91"/>
    <w:rsid w:val="00EA0A96"/>
    <w:rsid w:val="00EA78AC"/>
    <w:rsid w:val="00EC3906"/>
    <w:rsid w:val="00EC3ACD"/>
    <w:rsid w:val="00ED0326"/>
    <w:rsid w:val="00EE0234"/>
    <w:rsid w:val="00F012D1"/>
    <w:rsid w:val="00F01B79"/>
    <w:rsid w:val="00F13E31"/>
    <w:rsid w:val="00F2031C"/>
    <w:rsid w:val="00F32971"/>
    <w:rsid w:val="00F34FD9"/>
    <w:rsid w:val="00F36128"/>
    <w:rsid w:val="00F636A6"/>
    <w:rsid w:val="00F66B6E"/>
    <w:rsid w:val="00F703C3"/>
    <w:rsid w:val="00F82F3D"/>
    <w:rsid w:val="00FB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7268B4"/>
  <w15:docId w15:val="{93DFD764-C895-4DAB-81CC-AC38F155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4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20C51"/>
    <w:pPr>
      <w:tabs>
        <w:tab w:val="left" w:pos="907"/>
      </w:tabs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DF0"/>
    <w:pPr>
      <w:contextualSpacing/>
      <w:outlineLvl w:val="0"/>
    </w:pPr>
    <w:rPr>
      <w:rFonts w:ascii="Verdana" w:eastAsiaTheme="majorEastAsia" w:hAnsi="Verdan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E52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5E5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5E5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E5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E5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E5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E5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E5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2F3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82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252E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906"/>
  </w:style>
  <w:style w:type="character" w:customStyle="1" w:styleId="FooterChar">
    <w:name w:val="Footer Char"/>
    <w:link w:val="Footer"/>
    <w:rsid w:val="00B55EBC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015E5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96F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6F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E61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619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E61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E6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6196"/>
    <w:rPr>
      <w:rFonts w:ascii="Arial" w:hAnsi="Arial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B74F27"/>
    <w:pPr>
      <w:pBdr>
        <w:bottom w:val="single" w:sz="4" w:space="1" w:color="auto"/>
      </w:pBdr>
      <w:contextualSpacing/>
      <w:jc w:val="center"/>
    </w:pPr>
    <w:rPr>
      <w:rFonts w:ascii="Verdana" w:eastAsiaTheme="majorEastAsia" w:hAnsi="Verdana"/>
      <w:b/>
      <w:spacing w:val="5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B74F27"/>
    <w:rPr>
      <w:rFonts w:ascii="Verdana" w:eastAsiaTheme="majorEastAsia" w:hAnsi="Verdana" w:cs="Arial"/>
      <w:b/>
      <w:spacing w:val="5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12DF0"/>
    <w:rPr>
      <w:rFonts w:ascii="Verdana" w:eastAsiaTheme="majorEastAsia" w:hAnsi="Verdana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E5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5E5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15E5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E5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E5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E5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E5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E5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110156"/>
    <w:rPr>
      <w:b/>
      <w:bCs/>
      <w:smallCaps/>
      <w:color w:val="1F497D" w:themeColor="text2"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E5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5E5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15E52"/>
    <w:rPr>
      <w:b/>
      <w:bCs/>
    </w:rPr>
  </w:style>
  <w:style w:type="character" w:styleId="Emphasis">
    <w:name w:val="Emphasis"/>
    <w:uiPriority w:val="20"/>
    <w:qFormat/>
    <w:rsid w:val="00015E5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15E52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15E52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15E5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E5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E52"/>
    <w:rPr>
      <w:b/>
      <w:bCs/>
      <w:i/>
      <w:iCs/>
    </w:rPr>
  </w:style>
  <w:style w:type="character" w:styleId="SubtleEmphasis">
    <w:name w:val="Subtle Emphasis"/>
    <w:uiPriority w:val="19"/>
    <w:qFormat/>
    <w:rsid w:val="00015E52"/>
    <w:rPr>
      <w:i/>
      <w:iCs/>
    </w:rPr>
  </w:style>
  <w:style w:type="character" w:styleId="IntenseEmphasis">
    <w:name w:val="Intense Emphasis"/>
    <w:uiPriority w:val="21"/>
    <w:qFormat/>
    <w:rsid w:val="00015E52"/>
    <w:rPr>
      <w:b/>
      <w:bCs/>
    </w:rPr>
  </w:style>
  <w:style w:type="character" w:styleId="SubtleReference">
    <w:name w:val="Subtle Reference"/>
    <w:uiPriority w:val="31"/>
    <w:qFormat/>
    <w:rsid w:val="00015E52"/>
    <w:rPr>
      <w:smallCaps/>
    </w:rPr>
  </w:style>
  <w:style w:type="character" w:styleId="IntenseReference">
    <w:name w:val="Intense Reference"/>
    <w:uiPriority w:val="32"/>
    <w:qFormat/>
    <w:rsid w:val="00015E52"/>
    <w:rPr>
      <w:smallCaps/>
      <w:spacing w:val="5"/>
      <w:u w:val="single"/>
    </w:rPr>
  </w:style>
  <w:style w:type="character" w:styleId="BookTitle">
    <w:name w:val="Book Title"/>
    <w:uiPriority w:val="33"/>
    <w:qFormat/>
    <w:rsid w:val="00015E5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5E52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9e30f06f-ad7a-453a-8e08-8a8878e30bd1" xsi:nil="true"/>
    <Division xmlns="9e30f06f-ad7a-453a-8e08-8a8878e30bd1">DEHCR</Division>
    <PublishingExpirationDate xmlns="http://schemas.microsoft.com/sharepoint/v3" xsi:nil="true"/>
    <PublishingStartDate xmlns="http://schemas.microsoft.com/sharepoint/v3" xsi:nil="true"/>
    <_dlc_DocId xmlns="bb65cc95-6d4e-4879-a879-9838761499af">33E6D4FPPFNA-223884491-1754</_dlc_DocId>
    <_dlc_DocIdUrl xmlns="bb65cc95-6d4e-4879-a879-9838761499af">
      <Url>https://doa.wi.gov/_layouts/15/DocIdRedir.aspx?ID=33E6D4FPPFNA-223884491-1754</Url>
      <Description>33E6D4FPPFNA-223884491-1754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7B3F25A96C54C9B76362B105D646D" ma:contentTypeVersion="2" ma:contentTypeDescription="Create a new document." ma:contentTypeScope="" ma:versionID="4fc35d6e406519bf2917f795ea3c7ecd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8e7c859c08d6dced290ad52845b841ee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28408-C6BA-45ED-89E0-D79232CB56EC}"/>
</file>

<file path=customXml/itemProps2.xml><?xml version="1.0" encoding="utf-8"?>
<ds:datastoreItem xmlns:ds="http://schemas.openxmlformats.org/officeDocument/2006/customXml" ds:itemID="{5E9FDEB0-0D9D-417C-B5D2-B3E7BE2D5C8D}"/>
</file>

<file path=customXml/itemProps3.xml><?xml version="1.0" encoding="utf-8"?>
<ds:datastoreItem xmlns:ds="http://schemas.openxmlformats.org/officeDocument/2006/customXml" ds:itemID="{6FCB45F4-0235-4BF9-A243-CBB93177FED1}"/>
</file>

<file path=customXml/itemProps4.xml><?xml version="1.0" encoding="utf-8"?>
<ds:datastoreItem xmlns:ds="http://schemas.openxmlformats.org/officeDocument/2006/customXml" ds:itemID="{59585B33-39B6-4FF8-81E2-C081A850B059}"/>
</file>

<file path=customXml/itemProps5.xml><?xml version="1.0" encoding="utf-8"?>
<ds:datastoreItem xmlns:ds="http://schemas.openxmlformats.org/officeDocument/2006/customXml" ds:itemID="{58DDBE57-9626-43B9-A648-1ABB945292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APPLICANT / FISCAL AGENT INFORMATION</vt:lpstr>
    </vt:vector>
  </TitlesOfParts>
  <Company>Wisconsin Department of Commerce</Company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APPLICANT / FISCAL AGENT INFORMATION</dc:title>
  <dc:creator>Department of Commerce</dc:creator>
  <cp:lastModifiedBy>Gordon Levine</cp:lastModifiedBy>
  <cp:revision>14</cp:revision>
  <cp:lastPrinted>2016-02-04T21:18:00Z</cp:lastPrinted>
  <dcterms:created xsi:type="dcterms:W3CDTF">2016-03-03T18:01:00Z</dcterms:created>
  <dcterms:modified xsi:type="dcterms:W3CDTF">2017-03-15T16:42:00Z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0x0101004EF7B3F25A96C54C9B76362B105D646D</vt:lpwstr>
  </property>
  <property fmtid="{D5CDD505-2E9C-101B-9397-08002B2CF9AE}" pid="3" name="_dlc_DocIdItemGuid">
    <vt:lpwstr>4fd9762f-430d-40de-9032-aff82e0193b6</vt:lpwstr>
  </property>
</Properties>
</file>