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39EC" w14:textId="77777777" w:rsidR="000D4FB1" w:rsidRPr="00343C59" w:rsidRDefault="000D4FB1" w:rsidP="00343C59">
      <w:pPr>
        <w:pStyle w:val="Heading2"/>
        <w:rPr>
          <w:rFonts w:ascii="Arial" w:hAnsi="Arial" w:cs="Arial"/>
          <w:sz w:val="24"/>
        </w:rPr>
      </w:pPr>
      <w:r w:rsidRPr="00343C59">
        <w:rPr>
          <w:rFonts w:ascii="Arial" w:hAnsi="Arial" w:cs="Arial"/>
          <w:sz w:val="24"/>
        </w:rPr>
        <w:t>Environmental Review Requirements</w:t>
      </w:r>
      <w:r w:rsidR="00EA1061" w:rsidRPr="00343C59">
        <w:rPr>
          <w:rFonts w:ascii="Arial" w:hAnsi="Arial" w:cs="Arial"/>
          <w:sz w:val="24"/>
        </w:rPr>
        <w:t>/Instructions</w:t>
      </w:r>
    </w:p>
    <w:p w14:paraId="6F34C203" w14:textId="77777777" w:rsidR="000D4FB1" w:rsidRPr="00EA1061" w:rsidRDefault="000D4FB1" w:rsidP="000D4FB1">
      <w:pPr>
        <w:rPr>
          <w:rFonts w:cs="Arial"/>
          <w:i/>
          <w:sz w:val="20"/>
        </w:rPr>
      </w:pPr>
    </w:p>
    <w:p w14:paraId="46DC0084" w14:textId="77777777" w:rsidR="00343C59" w:rsidRDefault="00EA1061" w:rsidP="00343C59">
      <w:pPr>
        <w:rPr>
          <w:rFonts w:cs="Arial"/>
          <w:i/>
          <w:snapToGrid w:val="0"/>
          <w:sz w:val="20"/>
        </w:rPr>
      </w:pPr>
      <w:r w:rsidRPr="00EA1061">
        <w:rPr>
          <w:rFonts w:cs="Arial"/>
          <w:sz w:val="20"/>
        </w:rPr>
        <w:t>All federally funded project activities must undergo a review in order to determine whether they have an impact on the physical and built environments</w:t>
      </w:r>
      <w:r>
        <w:rPr>
          <w:rFonts w:cs="Arial"/>
          <w:sz w:val="20"/>
        </w:rPr>
        <w:t>. There are three levels of environmental review</w:t>
      </w:r>
      <w:r w:rsidR="00343C59">
        <w:rPr>
          <w:rFonts w:cs="Arial"/>
          <w:sz w:val="20"/>
        </w:rPr>
        <w:t xml:space="preserve"> applicable to EHH. </w:t>
      </w:r>
      <w:r w:rsidR="00343C59" w:rsidRPr="00343C59">
        <w:rPr>
          <w:rFonts w:cs="Arial"/>
          <w:i/>
          <w:sz w:val="20"/>
        </w:rPr>
        <w:t>Note: Administrative and HMIS activities are exempt from environmental review per 24 CFR 58.34(a)(3).</w:t>
      </w:r>
      <w:r w:rsidR="00343C59" w:rsidRPr="00343C59">
        <w:rPr>
          <w:rFonts w:cs="Arial"/>
          <w:i/>
          <w:snapToGrid w:val="0"/>
          <w:sz w:val="20"/>
        </w:rPr>
        <w:t xml:space="preserve"> </w:t>
      </w:r>
    </w:p>
    <w:p w14:paraId="32466253" w14:textId="6FE888FB" w:rsidR="00343C59" w:rsidRPr="00343C59" w:rsidRDefault="00343C59" w:rsidP="00343C59">
      <w:pPr>
        <w:rPr>
          <w:rFonts w:cs="Arial"/>
          <w:snapToGrid w:val="0"/>
          <w:sz w:val="20"/>
        </w:rPr>
      </w:pPr>
      <w:r w:rsidRPr="00343C59">
        <w:rPr>
          <w:rFonts w:cs="Arial"/>
          <w:sz w:val="20"/>
        </w:rPr>
        <w:t>If you have any questions, contact the EHH Program Manager.</w:t>
      </w:r>
    </w:p>
    <w:p w14:paraId="6D7CE18B" w14:textId="77777777" w:rsidR="00EA1061" w:rsidRPr="00EA1061" w:rsidRDefault="00EA1061" w:rsidP="00EA1061">
      <w:pPr>
        <w:rPr>
          <w:rFonts w:cs="Arial"/>
          <w:sz w:val="20"/>
        </w:rPr>
      </w:pPr>
    </w:p>
    <w:p w14:paraId="6AE57F0A" w14:textId="77777777" w:rsidR="000D4FB1" w:rsidRPr="00EA1061" w:rsidRDefault="00EA1061" w:rsidP="00EA1061">
      <w:pPr>
        <w:spacing w:after="120"/>
        <w:rPr>
          <w:rFonts w:cs="Arial"/>
        </w:rPr>
      </w:pPr>
      <w:r w:rsidRPr="00EA1061">
        <w:rPr>
          <w:rFonts w:cs="Arial"/>
          <w:b/>
          <w:u w:val="single"/>
        </w:rPr>
        <w:t xml:space="preserve">Level 1: </w:t>
      </w:r>
      <w:r w:rsidR="00E429D2" w:rsidRPr="00EA1061">
        <w:rPr>
          <w:rFonts w:cs="Arial"/>
          <w:b/>
          <w:u w:val="single"/>
        </w:rPr>
        <w:t>Categorically Excluded</w:t>
      </w:r>
      <w:r w:rsidR="00AF081D">
        <w:rPr>
          <w:rFonts w:cs="Arial"/>
          <w:b/>
          <w:u w:val="single"/>
        </w:rPr>
        <w:t xml:space="preserve"> Activities</w:t>
      </w:r>
      <w:r w:rsidR="0078132F" w:rsidRPr="00EA1061">
        <w:rPr>
          <w:rFonts w:cs="Arial"/>
          <w:b/>
          <w:u w:val="single"/>
        </w:rPr>
        <w:t>,</w:t>
      </w:r>
      <w:r w:rsidR="00E429D2" w:rsidRPr="00EA1061">
        <w:rPr>
          <w:rFonts w:cs="Arial"/>
          <w:b/>
          <w:u w:val="single"/>
        </w:rPr>
        <w:t xml:space="preserve"> not Subject to 24 CFR 58.5 </w:t>
      </w:r>
      <w:r w:rsidR="000D4FB1" w:rsidRPr="00EA1061">
        <w:rPr>
          <w:rFonts w:cs="Arial"/>
          <w:b/>
          <w:u w:val="single"/>
        </w:rPr>
        <w:t>Projects</w:t>
      </w:r>
      <w:r w:rsidR="000D4FB1" w:rsidRPr="00EA1061">
        <w:rPr>
          <w:rFonts w:cs="Arial"/>
          <w:u w:val="single"/>
        </w:rPr>
        <w:t>.</w:t>
      </w:r>
    </w:p>
    <w:p w14:paraId="0147920E" w14:textId="77777777" w:rsidR="000D4FB1" w:rsidRPr="00FC3A9A" w:rsidRDefault="000D4FB1" w:rsidP="00AF081D">
      <w:pPr>
        <w:numPr>
          <w:ilvl w:val="0"/>
          <w:numId w:val="1"/>
        </w:numPr>
        <w:spacing w:after="120"/>
        <w:rPr>
          <w:rFonts w:cs="Arial"/>
          <w:sz w:val="20"/>
        </w:rPr>
      </w:pPr>
      <w:r w:rsidRPr="00EA1061">
        <w:rPr>
          <w:rFonts w:cs="Arial"/>
          <w:sz w:val="20"/>
        </w:rPr>
        <w:t>Tenant-based rental assistance (24 CFR 58.35(b)(1));</w:t>
      </w:r>
    </w:p>
    <w:p w14:paraId="31BADA76" w14:textId="77777777" w:rsidR="000D4FB1" w:rsidRPr="00AF081D" w:rsidRDefault="000D4FB1" w:rsidP="00AF081D">
      <w:pPr>
        <w:numPr>
          <w:ilvl w:val="0"/>
          <w:numId w:val="1"/>
        </w:numPr>
        <w:spacing w:after="120"/>
        <w:rPr>
          <w:rFonts w:cs="Arial"/>
          <w:sz w:val="20"/>
        </w:rPr>
      </w:pPr>
      <w:r w:rsidRPr="00EA1061">
        <w:rPr>
          <w:rFonts w:cs="Arial"/>
          <w:sz w:val="20"/>
        </w:rPr>
        <w:t>Supportive services including, but not limited to, health care, housing services, permanent housing placement, day care, nutritional services, short-term payments for rent/mortgage/utility costs, and assistance in gaining access to benefits and services.</w:t>
      </w:r>
      <w:r w:rsidR="00D6122A" w:rsidRPr="00EA1061">
        <w:rPr>
          <w:rFonts w:cs="Arial"/>
          <w:sz w:val="20"/>
        </w:rPr>
        <w:t xml:space="preserve"> </w:t>
      </w:r>
      <w:r w:rsidRPr="00EA1061">
        <w:rPr>
          <w:rFonts w:cs="Arial"/>
          <w:sz w:val="20"/>
        </w:rPr>
        <w:t>(24 CFR 58.35(b)(2))</w:t>
      </w:r>
    </w:p>
    <w:p w14:paraId="685B9D42" w14:textId="42CD0A9C" w:rsidR="000D4FB1" w:rsidRPr="00AF081D" w:rsidRDefault="000D4FB1" w:rsidP="00AF081D">
      <w:pPr>
        <w:numPr>
          <w:ilvl w:val="0"/>
          <w:numId w:val="1"/>
        </w:numPr>
        <w:spacing w:after="120"/>
        <w:rPr>
          <w:rFonts w:cs="Arial"/>
          <w:sz w:val="20"/>
        </w:rPr>
      </w:pPr>
      <w:r w:rsidRPr="00EA1061">
        <w:rPr>
          <w:rFonts w:cs="Arial"/>
          <w:sz w:val="20"/>
        </w:rPr>
        <w:t>Operating costs including maintenance, security, operation, utilities, furnishings, equipment, supplies, staff training and recruitment and other incidental costs. (24 CFR 58.35(b)(3))</w:t>
      </w:r>
    </w:p>
    <w:p w14:paraId="1DACE1C1" w14:textId="75F00B77" w:rsidR="000D4FB1" w:rsidRPr="00C83467" w:rsidRDefault="00384377" w:rsidP="000D4FB1">
      <w:pPr>
        <w:rPr>
          <w:rFonts w:cs="Arial"/>
          <w:i/>
          <w:sz w:val="20"/>
        </w:rPr>
      </w:pPr>
      <w:r w:rsidRPr="00C83467">
        <w:rPr>
          <w:rFonts w:cs="Arial"/>
          <w:i/>
          <w:sz w:val="20"/>
        </w:rPr>
        <w:t>If project activities fall under Level</w:t>
      </w:r>
      <w:r w:rsidR="00F63C91" w:rsidRPr="00C83467">
        <w:rPr>
          <w:rFonts w:cs="Arial"/>
          <w:i/>
          <w:sz w:val="20"/>
        </w:rPr>
        <w:t xml:space="preserve"> 1</w:t>
      </w:r>
      <w:r w:rsidRPr="00C83467">
        <w:rPr>
          <w:rFonts w:cs="Arial"/>
          <w:i/>
          <w:sz w:val="20"/>
        </w:rPr>
        <w:t xml:space="preserve">, applicants must complete the Determination of Exemption form. </w:t>
      </w:r>
      <w:r w:rsidR="00B40F19">
        <w:rPr>
          <w:rFonts w:cs="Arial"/>
          <w:i/>
          <w:sz w:val="20"/>
        </w:rPr>
        <w:t>L</w:t>
      </w:r>
      <w:r w:rsidR="00F63C91" w:rsidRPr="00C83467">
        <w:rPr>
          <w:rFonts w:cs="Arial"/>
          <w:i/>
          <w:sz w:val="20"/>
        </w:rPr>
        <w:t>ead applic</w:t>
      </w:r>
      <w:r w:rsidR="00343C59">
        <w:rPr>
          <w:rFonts w:cs="Arial"/>
          <w:i/>
          <w:sz w:val="20"/>
        </w:rPr>
        <w:t>ants</w:t>
      </w:r>
      <w:r w:rsidR="00F63C91" w:rsidRPr="00C83467">
        <w:rPr>
          <w:rFonts w:cs="Arial"/>
          <w:i/>
          <w:sz w:val="20"/>
        </w:rPr>
        <w:t xml:space="preserve"> should s</w:t>
      </w:r>
      <w:r w:rsidRPr="00C83467">
        <w:rPr>
          <w:rFonts w:cs="Arial"/>
          <w:i/>
          <w:sz w:val="20"/>
        </w:rPr>
        <w:t>ubmit one form for all project</w:t>
      </w:r>
      <w:r w:rsidR="00343C59">
        <w:rPr>
          <w:rFonts w:cs="Arial"/>
          <w:i/>
          <w:sz w:val="20"/>
        </w:rPr>
        <w:t>s</w:t>
      </w:r>
      <w:r w:rsidRPr="00C83467">
        <w:rPr>
          <w:rFonts w:cs="Arial"/>
          <w:i/>
          <w:sz w:val="20"/>
        </w:rPr>
        <w:t xml:space="preserve"> </w:t>
      </w:r>
      <w:r w:rsidR="00343C59">
        <w:rPr>
          <w:rFonts w:cs="Arial"/>
          <w:i/>
          <w:sz w:val="20"/>
        </w:rPr>
        <w:t xml:space="preserve">with exempt </w:t>
      </w:r>
      <w:r w:rsidRPr="00C83467">
        <w:rPr>
          <w:rFonts w:cs="Arial"/>
          <w:i/>
          <w:sz w:val="20"/>
        </w:rPr>
        <w:t>activities listed in the consolidated application.</w:t>
      </w:r>
      <w:bookmarkStart w:id="0" w:name="_GoBack"/>
      <w:bookmarkEnd w:id="0"/>
    </w:p>
    <w:p w14:paraId="0C5D7325" w14:textId="77777777" w:rsidR="00384377" w:rsidRPr="00EA1061" w:rsidRDefault="00384377" w:rsidP="000D4FB1">
      <w:pPr>
        <w:rPr>
          <w:rFonts w:cs="Arial"/>
          <w:sz w:val="20"/>
        </w:rPr>
      </w:pPr>
    </w:p>
    <w:p w14:paraId="78171799" w14:textId="77777777" w:rsidR="000D4FB1" w:rsidRPr="00EA1061" w:rsidRDefault="00EA1061" w:rsidP="00EA1061">
      <w:pPr>
        <w:pStyle w:val="Heading4"/>
        <w:spacing w:after="120"/>
        <w:rPr>
          <w:rFonts w:ascii="Arial" w:hAnsi="Arial" w:cs="Arial"/>
          <w:sz w:val="22"/>
          <w:u w:val="single"/>
        </w:rPr>
      </w:pPr>
      <w:r w:rsidRPr="00EA1061">
        <w:rPr>
          <w:rFonts w:ascii="Arial" w:hAnsi="Arial" w:cs="Arial"/>
          <w:sz w:val="22"/>
          <w:u w:val="single"/>
        </w:rPr>
        <w:t>Level 2:</w:t>
      </w:r>
      <w:r w:rsidR="000D4FB1" w:rsidRPr="00EA1061">
        <w:rPr>
          <w:rFonts w:ascii="Arial" w:hAnsi="Arial" w:cs="Arial"/>
          <w:sz w:val="22"/>
          <w:u w:val="single"/>
        </w:rPr>
        <w:t xml:space="preserve"> Non-exempt </w:t>
      </w:r>
      <w:r>
        <w:rPr>
          <w:rFonts w:ascii="Arial" w:hAnsi="Arial" w:cs="Arial"/>
          <w:sz w:val="22"/>
          <w:u w:val="single"/>
        </w:rPr>
        <w:t xml:space="preserve">Categorically Excluded </w:t>
      </w:r>
      <w:r w:rsidR="000D4FB1" w:rsidRPr="00EA1061">
        <w:rPr>
          <w:rFonts w:ascii="Arial" w:hAnsi="Arial" w:cs="Arial"/>
          <w:sz w:val="22"/>
          <w:u w:val="single"/>
        </w:rPr>
        <w:t>Activities</w:t>
      </w:r>
    </w:p>
    <w:p w14:paraId="28F13B86" w14:textId="77777777" w:rsidR="000D4FB1" w:rsidRPr="00EA1061" w:rsidRDefault="000D4FB1" w:rsidP="008E22E0">
      <w:pPr>
        <w:spacing w:after="120"/>
        <w:rPr>
          <w:rFonts w:cs="Arial"/>
          <w:i/>
          <w:sz w:val="20"/>
        </w:rPr>
      </w:pPr>
      <w:r w:rsidRPr="00EA1061">
        <w:rPr>
          <w:rFonts w:cs="Arial"/>
          <w:sz w:val="20"/>
        </w:rPr>
        <w:t xml:space="preserve">Any other proposed </w:t>
      </w:r>
      <w:r w:rsidRPr="00C83467">
        <w:rPr>
          <w:rFonts w:cs="Arial"/>
          <w:sz w:val="20"/>
        </w:rPr>
        <w:t>activities, including renovation/rehabilitation of existing buildings, increasing the number of homeless individuals or families served through the acquisition or construction of new facilities, or making a facility barrier-free, must m</w:t>
      </w:r>
      <w:r w:rsidRPr="00EA1061">
        <w:rPr>
          <w:rFonts w:cs="Arial"/>
          <w:sz w:val="20"/>
        </w:rPr>
        <w:t xml:space="preserve">eet additional environmental review requirements, </w:t>
      </w:r>
      <w:r w:rsidR="00AF081D">
        <w:rPr>
          <w:rFonts w:cs="Arial"/>
          <w:sz w:val="20"/>
        </w:rPr>
        <w:t>including:</w:t>
      </w:r>
      <w:r w:rsidRPr="00EA1061">
        <w:rPr>
          <w:rFonts w:cs="Arial"/>
          <w:i/>
          <w:sz w:val="20"/>
        </w:rPr>
        <w:t xml:space="preserve"> </w:t>
      </w:r>
    </w:p>
    <w:p w14:paraId="49854FBB" w14:textId="77777777" w:rsidR="000D4FB1" w:rsidRPr="00AF081D" w:rsidRDefault="000D4FB1" w:rsidP="00AF081D">
      <w:pPr>
        <w:numPr>
          <w:ilvl w:val="0"/>
          <w:numId w:val="2"/>
        </w:numPr>
        <w:spacing w:after="120"/>
        <w:rPr>
          <w:rFonts w:cs="Arial"/>
          <w:sz w:val="20"/>
        </w:rPr>
      </w:pPr>
      <w:r w:rsidRPr="00EA1061">
        <w:rPr>
          <w:rFonts w:cs="Arial"/>
          <w:sz w:val="20"/>
        </w:rPr>
        <w:t>Historic preservation: protecting buildings and sites of historic significance 50 years of age or older;</w:t>
      </w:r>
    </w:p>
    <w:p w14:paraId="1A50A0C9" w14:textId="77777777" w:rsidR="000D4FB1" w:rsidRPr="00AF081D" w:rsidRDefault="000D4FB1" w:rsidP="00AF081D">
      <w:pPr>
        <w:numPr>
          <w:ilvl w:val="0"/>
          <w:numId w:val="2"/>
        </w:numPr>
        <w:spacing w:after="120"/>
        <w:rPr>
          <w:rFonts w:cs="Arial"/>
          <w:sz w:val="20"/>
        </w:rPr>
      </w:pPr>
      <w:r w:rsidRPr="00EA1061">
        <w:rPr>
          <w:rFonts w:cs="Arial"/>
          <w:sz w:val="20"/>
        </w:rPr>
        <w:t xml:space="preserve">Floodplain management: discouraging new construction or substantial rehab (defined as investing 50% </w:t>
      </w:r>
      <w:r w:rsidR="00E429D2" w:rsidRPr="00EA1061">
        <w:rPr>
          <w:rFonts w:cs="Arial"/>
          <w:sz w:val="20"/>
        </w:rPr>
        <w:t>or more of the equalized assessed value of a</w:t>
      </w:r>
      <w:r w:rsidRPr="00EA1061">
        <w:rPr>
          <w:rFonts w:cs="Arial"/>
          <w:sz w:val="20"/>
        </w:rPr>
        <w:t>n existing building) in zones prone to flooding, including the 100-year floodplain and wetlands;</w:t>
      </w:r>
    </w:p>
    <w:p w14:paraId="22350F6B" w14:textId="77777777" w:rsidR="000D4FB1" w:rsidRPr="00AF081D" w:rsidRDefault="000D4FB1" w:rsidP="00AF081D">
      <w:pPr>
        <w:numPr>
          <w:ilvl w:val="0"/>
          <w:numId w:val="2"/>
        </w:numPr>
        <w:spacing w:after="120"/>
        <w:rPr>
          <w:rFonts w:cs="Arial"/>
          <w:sz w:val="20"/>
        </w:rPr>
      </w:pPr>
      <w:r w:rsidRPr="00EA1061">
        <w:rPr>
          <w:rFonts w:cs="Arial"/>
          <w:sz w:val="20"/>
        </w:rPr>
        <w:t>Noise: discouraging projects next to major highways, railroads, airport runways, or other major noise sources, and taking measures to reduce the interior noise levels of those projects that are located near such noise sources;</w:t>
      </w:r>
    </w:p>
    <w:p w14:paraId="689D51E3" w14:textId="77777777" w:rsidR="000D4FB1" w:rsidRPr="008E22E0" w:rsidRDefault="000D4FB1" w:rsidP="000D4FB1">
      <w:pPr>
        <w:numPr>
          <w:ilvl w:val="0"/>
          <w:numId w:val="2"/>
        </w:numPr>
        <w:spacing w:after="240"/>
        <w:rPr>
          <w:rFonts w:cs="Arial"/>
          <w:sz w:val="20"/>
        </w:rPr>
      </w:pPr>
      <w:r w:rsidRPr="00EA1061">
        <w:rPr>
          <w:rFonts w:cs="Arial"/>
          <w:sz w:val="20"/>
        </w:rPr>
        <w:t>Man-made hazards: Discouraging the placement of projects near industrial facilities that store or use gasoline, propane, or other hazardous materials of a flammable nature; near sites that may cause environmental contamination (such as toxic waste disposal sites); or sites within or adjacent to airport runway clear zones.</w:t>
      </w:r>
    </w:p>
    <w:p w14:paraId="765B5F62" w14:textId="77777777" w:rsidR="000D4FB1" w:rsidRPr="00EA1061" w:rsidRDefault="000D4FB1" w:rsidP="004042E5">
      <w:pPr>
        <w:spacing w:after="120"/>
        <w:rPr>
          <w:rFonts w:cs="Arial"/>
          <w:snapToGrid w:val="0"/>
          <w:sz w:val="20"/>
        </w:rPr>
      </w:pPr>
      <w:r w:rsidRPr="00EA1061">
        <w:rPr>
          <w:rFonts w:cs="Arial"/>
          <w:snapToGrid w:val="0"/>
          <w:sz w:val="20"/>
        </w:rPr>
        <w:t xml:space="preserve">Projects, or portions of projects, which propose the rehabilitation of buildings (renovation, remodeling, repair, or physical expansion beyond code correction and routine maintenance) are </w:t>
      </w:r>
      <w:r w:rsidR="00C83467">
        <w:rPr>
          <w:rFonts w:cs="Arial"/>
          <w:snapToGrid w:val="0"/>
          <w:sz w:val="20"/>
        </w:rPr>
        <w:t>Level 2</w:t>
      </w:r>
      <w:r w:rsidRPr="00EA1061">
        <w:rPr>
          <w:rFonts w:cs="Arial"/>
          <w:snapToGrid w:val="0"/>
          <w:sz w:val="20"/>
        </w:rPr>
        <w:t xml:space="preserve"> if one of the following conditions is met:</w:t>
      </w:r>
    </w:p>
    <w:p w14:paraId="2A671E5A" w14:textId="77777777" w:rsidR="000D4FB1" w:rsidRPr="00EA1061" w:rsidRDefault="000D4FB1" w:rsidP="004042E5">
      <w:pPr>
        <w:numPr>
          <w:ilvl w:val="0"/>
          <w:numId w:val="22"/>
        </w:numPr>
        <w:spacing w:after="120"/>
        <w:rPr>
          <w:rFonts w:cs="Arial"/>
          <w:sz w:val="20"/>
        </w:rPr>
      </w:pPr>
      <w:r w:rsidRPr="00EA1061">
        <w:rPr>
          <w:rFonts w:cs="Arial"/>
          <w:sz w:val="20"/>
        </w:rPr>
        <w:t>The shelter, or other multi-family building—already acquired through other funding sources—will be retained in its original use without change in its size, capacity, or character;</w:t>
      </w:r>
    </w:p>
    <w:p w14:paraId="51041DF6" w14:textId="77777777" w:rsidR="000D4FB1" w:rsidRPr="00EA1061" w:rsidRDefault="000D4FB1" w:rsidP="004042E5">
      <w:pPr>
        <w:numPr>
          <w:ilvl w:val="0"/>
          <w:numId w:val="22"/>
        </w:numPr>
        <w:spacing w:after="120"/>
        <w:rPr>
          <w:rFonts w:cs="Arial"/>
          <w:sz w:val="20"/>
        </w:rPr>
      </w:pPr>
      <w:r w:rsidRPr="00EA1061">
        <w:rPr>
          <w:rFonts w:cs="Arial"/>
          <w:sz w:val="20"/>
        </w:rPr>
        <w:t>The proposed rehabilitation of the building will replace or upgrade an existing shelter with only a minimal change in the use, size, capacity, or location;</w:t>
      </w:r>
    </w:p>
    <w:p w14:paraId="25FE5A35" w14:textId="77777777" w:rsidR="000D4FB1" w:rsidRPr="008E22E0" w:rsidRDefault="000D4FB1" w:rsidP="008E22E0">
      <w:pPr>
        <w:numPr>
          <w:ilvl w:val="0"/>
          <w:numId w:val="22"/>
        </w:numPr>
        <w:spacing w:after="240"/>
        <w:rPr>
          <w:rFonts w:cs="Arial"/>
          <w:sz w:val="20"/>
        </w:rPr>
      </w:pPr>
      <w:r w:rsidRPr="00EA1061">
        <w:rPr>
          <w:rFonts w:cs="Arial"/>
          <w:sz w:val="20"/>
        </w:rPr>
        <w:t>The improvements to the shelter are consistent with the use of that site, and the improvements will not change the use, size, capacity or character of the building.</w:t>
      </w:r>
    </w:p>
    <w:p w14:paraId="29D7760D" w14:textId="77777777" w:rsidR="000D4FB1" w:rsidRPr="00EA1061" w:rsidRDefault="000D4FB1" w:rsidP="004042E5">
      <w:pPr>
        <w:spacing w:after="120"/>
        <w:rPr>
          <w:rFonts w:cs="Arial"/>
          <w:sz w:val="20"/>
        </w:rPr>
      </w:pPr>
      <w:r w:rsidRPr="00EA1061">
        <w:rPr>
          <w:rFonts w:cs="Arial"/>
          <w:sz w:val="20"/>
        </w:rPr>
        <w:t xml:space="preserve">Other </w:t>
      </w:r>
      <w:r w:rsidR="00C83467">
        <w:rPr>
          <w:rFonts w:cs="Arial"/>
          <w:sz w:val="20"/>
        </w:rPr>
        <w:t>Level 2</w:t>
      </w:r>
      <w:r w:rsidRPr="00EA1061">
        <w:rPr>
          <w:rFonts w:cs="Arial"/>
          <w:sz w:val="20"/>
        </w:rPr>
        <w:t xml:space="preserve"> projects </w:t>
      </w:r>
      <w:r w:rsidR="00C83467">
        <w:rPr>
          <w:rFonts w:cs="Arial"/>
          <w:sz w:val="20"/>
        </w:rPr>
        <w:t>include</w:t>
      </w:r>
      <w:r w:rsidRPr="00EA1061">
        <w:rPr>
          <w:rFonts w:cs="Arial"/>
          <w:sz w:val="20"/>
        </w:rPr>
        <w:t>:</w:t>
      </w:r>
    </w:p>
    <w:p w14:paraId="49D89F8C" w14:textId="77777777" w:rsidR="000D4FB1" w:rsidRPr="00EA1061" w:rsidRDefault="000D4FB1" w:rsidP="008E22E0">
      <w:pPr>
        <w:numPr>
          <w:ilvl w:val="0"/>
          <w:numId w:val="29"/>
        </w:numPr>
        <w:spacing w:after="120"/>
        <w:rPr>
          <w:rFonts w:cs="Arial"/>
          <w:sz w:val="20"/>
        </w:rPr>
      </w:pPr>
      <w:r w:rsidRPr="00EA1061">
        <w:rPr>
          <w:rFonts w:cs="Arial"/>
          <w:sz w:val="20"/>
        </w:rPr>
        <w:t>Those that remove material or architectural barriers that restrict the mobility and accessibility of elderly and/or persons with disabilities (these include Section 504 ADA compliance projects, such as projects to construct ramps or install grab bars in bath tubs; and</w:t>
      </w:r>
    </w:p>
    <w:p w14:paraId="166D9B00" w14:textId="77777777" w:rsidR="000D4FB1" w:rsidRPr="00EA1061" w:rsidRDefault="000D4FB1" w:rsidP="008E22E0">
      <w:pPr>
        <w:numPr>
          <w:ilvl w:val="0"/>
          <w:numId w:val="29"/>
        </w:numPr>
        <w:spacing w:after="120"/>
        <w:rPr>
          <w:rFonts w:cs="Arial"/>
          <w:sz w:val="20"/>
        </w:rPr>
      </w:pPr>
      <w:r w:rsidRPr="00EA1061">
        <w:rPr>
          <w:rFonts w:cs="Arial"/>
          <w:sz w:val="20"/>
        </w:rPr>
        <w:t>Those that propose the acquisition or rehab of 1- to 4- unit residential buildings.</w:t>
      </w:r>
    </w:p>
    <w:p w14:paraId="05DFFA03" w14:textId="4A1E76BB" w:rsidR="008E22E0" w:rsidRPr="00C83467" w:rsidRDefault="008E22E0" w:rsidP="00C83467">
      <w:pPr>
        <w:spacing w:before="100" w:beforeAutospacing="1"/>
        <w:rPr>
          <w:rFonts w:cs="Arial"/>
          <w:i/>
          <w:sz w:val="20"/>
        </w:rPr>
      </w:pPr>
      <w:r w:rsidRPr="00C83467">
        <w:rPr>
          <w:rFonts w:cs="Arial"/>
          <w:i/>
          <w:sz w:val="20"/>
        </w:rPr>
        <w:t>Applicants who are requesting funds for these activities must make a preliminary evaluation of their projects by gathering information necessary for an accurate environmental determination.</w:t>
      </w:r>
      <w:r w:rsidR="00C83467">
        <w:rPr>
          <w:rFonts w:cs="Arial"/>
          <w:i/>
          <w:sz w:val="20"/>
        </w:rPr>
        <w:t xml:space="preserve"> Applicants must complete the Environmental </w:t>
      </w:r>
      <w:r w:rsidR="00343C59">
        <w:rPr>
          <w:rFonts w:cs="Arial"/>
          <w:i/>
          <w:sz w:val="20"/>
        </w:rPr>
        <w:t>Review</w:t>
      </w:r>
      <w:r w:rsidR="00C83467">
        <w:rPr>
          <w:rFonts w:cs="Arial"/>
          <w:i/>
          <w:sz w:val="20"/>
        </w:rPr>
        <w:t xml:space="preserve"> Questions. </w:t>
      </w:r>
    </w:p>
    <w:p w14:paraId="7C87029A" w14:textId="77777777" w:rsidR="00C83467" w:rsidRDefault="00C83467" w:rsidP="00C83467">
      <w:pPr>
        <w:spacing w:before="100" w:beforeAutospacing="1"/>
        <w:rPr>
          <w:rFonts w:cs="Arial"/>
          <w:sz w:val="20"/>
        </w:rPr>
      </w:pPr>
    </w:p>
    <w:p w14:paraId="627BD304" w14:textId="77777777" w:rsidR="00C83467" w:rsidRPr="00EA1061" w:rsidRDefault="00C83467" w:rsidP="00C83467">
      <w:pPr>
        <w:pStyle w:val="Heading4"/>
        <w:spacing w:after="120"/>
        <w:rPr>
          <w:rFonts w:ascii="Arial" w:hAnsi="Arial" w:cs="Arial"/>
          <w:sz w:val="22"/>
          <w:u w:val="single"/>
        </w:rPr>
      </w:pPr>
      <w:r w:rsidRPr="00EA1061">
        <w:rPr>
          <w:rFonts w:ascii="Arial" w:hAnsi="Arial" w:cs="Arial"/>
          <w:sz w:val="22"/>
          <w:u w:val="single"/>
        </w:rPr>
        <w:lastRenderedPageBreak/>
        <w:t xml:space="preserve">Level </w:t>
      </w:r>
      <w:r>
        <w:rPr>
          <w:rFonts w:ascii="Arial" w:hAnsi="Arial" w:cs="Arial"/>
          <w:sz w:val="22"/>
          <w:u w:val="single"/>
        </w:rPr>
        <w:t>3</w:t>
      </w:r>
      <w:r w:rsidRPr="00EA1061">
        <w:rPr>
          <w:rFonts w:ascii="Arial" w:hAnsi="Arial" w:cs="Arial"/>
          <w:sz w:val="22"/>
          <w:u w:val="single"/>
        </w:rPr>
        <w:t xml:space="preserve">: Non-exempt </w:t>
      </w:r>
      <w:r>
        <w:rPr>
          <w:rFonts w:ascii="Arial" w:hAnsi="Arial" w:cs="Arial"/>
          <w:sz w:val="22"/>
          <w:u w:val="single"/>
        </w:rPr>
        <w:t xml:space="preserve">Categorically Excluded </w:t>
      </w:r>
      <w:r w:rsidRPr="00EA1061">
        <w:rPr>
          <w:rFonts w:ascii="Arial" w:hAnsi="Arial" w:cs="Arial"/>
          <w:sz w:val="22"/>
          <w:u w:val="single"/>
        </w:rPr>
        <w:t>Activities</w:t>
      </w:r>
    </w:p>
    <w:p w14:paraId="435B3112" w14:textId="77777777" w:rsidR="00C83467" w:rsidRDefault="00C83467" w:rsidP="00C83467">
      <w:pPr>
        <w:spacing w:before="100" w:beforeAutospacing="1"/>
        <w:rPr>
          <w:rFonts w:cs="Arial"/>
          <w:sz w:val="20"/>
        </w:rPr>
      </w:pPr>
      <w:r>
        <w:rPr>
          <w:rFonts w:cs="Arial"/>
          <w:sz w:val="20"/>
        </w:rPr>
        <w:t xml:space="preserve">Level 3 activities include </w:t>
      </w:r>
      <w:r w:rsidRPr="00C83467">
        <w:rPr>
          <w:rFonts w:cs="Arial"/>
          <w:sz w:val="20"/>
        </w:rPr>
        <w:t xml:space="preserve">renovation/rehabilitation </w:t>
      </w:r>
      <w:r>
        <w:rPr>
          <w:rFonts w:cs="Arial"/>
          <w:sz w:val="20"/>
        </w:rPr>
        <w:t xml:space="preserve">that results in changes to </w:t>
      </w:r>
      <w:r w:rsidRPr="00EA1061">
        <w:rPr>
          <w:rFonts w:cs="Arial"/>
          <w:sz w:val="20"/>
        </w:rPr>
        <w:t>the use, size, capacity</w:t>
      </w:r>
      <w:r>
        <w:rPr>
          <w:rFonts w:cs="Arial"/>
          <w:sz w:val="20"/>
        </w:rPr>
        <w:t>,</w:t>
      </w:r>
      <w:r w:rsidRPr="00C83467">
        <w:rPr>
          <w:rFonts w:cs="Arial"/>
          <w:sz w:val="20"/>
        </w:rPr>
        <w:t xml:space="preserve"> </w:t>
      </w:r>
      <w:r w:rsidRPr="00EA1061">
        <w:rPr>
          <w:rFonts w:cs="Arial"/>
          <w:sz w:val="20"/>
        </w:rPr>
        <w:t>or character of the building</w:t>
      </w:r>
      <w:r>
        <w:rPr>
          <w:rFonts w:cs="Arial"/>
          <w:sz w:val="20"/>
        </w:rPr>
        <w:t xml:space="preserve">. This also applies to newbuilding acquisition. </w:t>
      </w:r>
    </w:p>
    <w:p w14:paraId="1C76599B" w14:textId="77777777" w:rsidR="00C83467" w:rsidRPr="00C83467" w:rsidRDefault="00C83467" w:rsidP="00C83467">
      <w:pPr>
        <w:spacing w:before="100" w:beforeAutospacing="1"/>
        <w:rPr>
          <w:rFonts w:cs="Arial"/>
          <w:i/>
          <w:sz w:val="20"/>
        </w:rPr>
      </w:pPr>
      <w:r w:rsidRPr="00C83467">
        <w:rPr>
          <w:rFonts w:cs="Arial"/>
          <w:i/>
          <w:sz w:val="20"/>
        </w:rPr>
        <w:t>Applicants who are interested these activities must contact the EHH Contract Manager for more information.</w:t>
      </w:r>
    </w:p>
    <w:p w14:paraId="24233B00" w14:textId="77777777" w:rsidR="00343C59" w:rsidRDefault="00343C59" w:rsidP="005430FD">
      <w:pPr>
        <w:pStyle w:val="BodyText3"/>
        <w:rPr>
          <w:rFonts w:cs="Arial"/>
          <w:b/>
          <w:sz w:val="20"/>
          <w:u w:val="single"/>
        </w:rPr>
      </w:pPr>
    </w:p>
    <w:p w14:paraId="03584F87" w14:textId="5936BDFB" w:rsidR="005430FD" w:rsidRPr="00343C59" w:rsidRDefault="005430FD" w:rsidP="00343C59">
      <w:pPr>
        <w:pStyle w:val="BodyText3"/>
        <w:spacing w:after="120"/>
        <w:rPr>
          <w:rFonts w:cs="Arial"/>
          <w:b/>
          <w:sz w:val="22"/>
          <w:u w:val="single"/>
        </w:rPr>
      </w:pPr>
      <w:r w:rsidRPr="00343C59">
        <w:rPr>
          <w:rFonts w:cs="Arial"/>
          <w:b/>
          <w:sz w:val="22"/>
          <w:u w:val="single"/>
        </w:rPr>
        <w:t>Status Determination</w:t>
      </w:r>
    </w:p>
    <w:p w14:paraId="1B233F42" w14:textId="77777777" w:rsidR="00652487" w:rsidRPr="00652487" w:rsidRDefault="00652487" w:rsidP="00652487">
      <w:pPr>
        <w:pStyle w:val="BodyText3"/>
        <w:rPr>
          <w:rFonts w:cs="Arial"/>
          <w:sz w:val="20"/>
        </w:rPr>
      </w:pPr>
      <w:r w:rsidRPr="00652487">
        <w:rPr>
          <w:rFonts w:cs="Arial"/>
          <w:sz w:val="20"/>
        </w:rPr>
        <w:t>DOA DEHCR is responsible for the final approval of submitted environmental reviews.  All projects requesting funding in a consolidated application will be reviewed for compliance with the applicable environmental regulations.  Lead EHH applicants will receive a Letter of Certification from the DOA DEHCR Environmental Compliance Officer which should be kept in the project files.</w:t>
      </w:r>
    </w:p>
    <w:p w14:paraId="4ECBE712" w14:textId="77777777" w:rsidR="00CE325F" w:rsidRPr="00EA1061" w:rsidRDefault="00CE325F" w:rsidP="005430FD">
      <w:pPr>
        <w:pStyle w:val="BodyText3"/>
        <w:rPr>
          <w:rFonts w:cs="Arial"/>
          <w:sz w:val="20"/>
        </w:rPr>
      </w:pPr>
    </w:p>
    <w:p w14:paraId="1B28B31B" w14:textId="77777777" w:rsidR="0078132F" w:rsidRPr="00EA1061" w:rsidRDefault="0078132F" w:rsidP="000D4FB1">
      <w:pPr>
        <w:pStyle w:val="Header"/>
        <w:tabs>
          <w:tab w:val="clear" w:pos="4320"/>
          <w:tab w:val="clear" w:pos="8640"/>
          <w:tab w:val="left" w:pos="2160"/>
        </w:tabs>
        <w:rPr>
          <w:rFonts w:cs="Arial"/>
          <w:sz w:val="20"/>
        </w:rPr>
      </w:pPr>
    </w:p>
    <w:p w14:paraId="5AB39865" w14:textId="77777777" w:rsidR="008E22E0" w:rsidRDefault="008E22E0" w:rsidP="008E22E0">
      <w:pPr>
        <w:pStyle w:val="BodyText"/>
        <w:tabs>
          <w:tab w:val="left" w:pos="720"/>
          <w:tab w:val="left" w:pos="1440"/>
        </w:tabs>
        <w:rPr>
          <w:rFonts w:ascii="Arial" w:hAnsi="Arial" w:cs="Arial"/>
          <w:i w:val="0"/>
          <w:sz w:val="20"/>
        </w:rPr>
      </w:pPr>
    </w:p>
    <w:p w14:paraId="36EA3D13" w14:textId="77777777" w:rsidR="008E22E0" w:rsidRDefault="008E22E0" w:rsidP="008E22E0">
      <w:pPr>
        <w:pStyle w:val="BodyText"/>
        <w:tabs>
          <w:tab w:val="left" w:pos="720"/>
          <w:tab w:val="left" w:pos="1440"/>
        </w:tabs>
        <w:rPr>
          <w:rFonts w:ascii="Arial" w:hAnsi="Arial" w:cs="Arial"/>
          <w:i w:val="0"/>
          <w:sz w:val="20"/>
        </w:rPr>
      </w:pPr>
    </w:p>
    <w:p w14:paraId="51535B31" w14:textId="77777777" w:rsidR="008E22E0" w:rsidRPr="00EA1061" w:rsidRDefault="008E22E0" w:rsidP="008E22E0">
      <w:pPr>
        <w:pStyle w:val="BodyText"/>
        <w:tabs>
          <w:tab w:val="left" w:pos="720"/>
          <w:tab w:val="left" w:pos="1440"/>
        </w:tabs>
        <w:rPr>
          <w:rFonts w:ascii="Arial" w:hAnsi="Arial" w:cs="Arial"/>
          <w:i w:val="0"/>
          <w:sz w:val="20"/>
        </w:rPr>
      </w:pPr>
    </w:p>
    <w:p w14:paraId="05DE3960" w14:textId="77777777" w:rsidR="000D4FB1" w:rsidRPr="00EA1061" w:rsidRDefault="00F5739B" w:rsidP="00F5739B">
      <w:pPr>
        <w:pStyle w:val="Header"/>
        <w:tabs>
          <w:tab w:val="clear" w:pos="4320"/>
          <w:tab w:val="clear" w:pos="8640"/>
          <w:tab w:val="left" w:pos="2160"/>
        </w:tabs>
        <w:rPr>
          <w:rFonts w:cs="Arial"/>
          <w:sz w:val="20"/>
        </w:rPr>
      </w:pPr>
      <w:r w:rsidRPr="00EA1061">
        <w:rPr>
          <w:rFonts w:cs="Arial"/>
          <w:sz w:val="20"/>
        </w:rPr>
        <w:t xml:space="preserve"> </w:t>
      </w:r>
    </w:p>
    <w:p w14:paraId="394BD1CC" w14:textId="77777777" w:rsidR="000D4FB1" w:rsidRPr="00EA1061" w:rsidRDefault="000D4FB1" w:rsidP="000D4FB1">
      <w:pPr>
        <w:rPr>
          <w:rFonts w:cs="Arial"/>
          <w:sz w:val="20"/>
        </w:rPr>
      </w:pPr>
    </w:p>
    <w:sectPr w:rsidR="000D4FB1" w:rsidRPr="00EA1061" w:rsidSect="00343C59">
      <w:foot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2762" w14:textId="77777777" w:rsidR="00343C59" w:rsidRDefault="00343C59" w:rsidP="00343C59">
      <w:r>
        <w:separator/>
      </w:r>
    </w:p>
  </w:endnote>
  <w:endnote w:type="continuationSeparator" w:id="0">
    <w:p w14:paraId="333AA562" w14:textId="77777777" w:rsidR="00343C59" w:rsidRDefault="00343C59" w:rsidP="0034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4594" w14:textId="529598D4" w:rsidR="00343C59" w:rsidRPr="00343C59" w:rsidRDefault="00343C59">
    <w:pPr>
      <w:pStyle w:val="Footer"/>
      <w:jc w:val="right"/>
      <w:rPr>
        <w:sz w:val="20"/>
      </w:rPr>
    </w:pPr>
    <w:r w:rsidRPr="00343C59">
      <w:rPr>
        <w:sz w:val="20"/>
      </w:rPr>
      <w:t xml:space="preserve">Page </w:t>
    </w:r>
    <w:r w:rsidRPr="00343C59">
      <w:rPr>
        <w:b/>
        <w:bCs/>
        <w:sz w:val="20"/>
      </w:rPr>
      <w:fldChar w:fldCharType="begin"/>
    </w:r>
    <w:r w:rsidRPr="00343C59">
      <w:rPr>
        <w:b/>
        <w:bCs/>
        <w:sz w:val="20"/>
      </w:rPr>
      <w:instrText xml:space="preserve"> PAGE </w:instrText>
    </w:r>
    <w:r w:rsidRPr="00343C59">
      <w:rPr>
        <w:b/>
        <w:bCs/>
        <w:sz w:val="20"/>
      </w:rPr>
      <w:fldChar w:fldCharType="separate"/>
    </w:r>
    <w:r w:rsidRPr="00343C59">
      <w:rPr>
        <w:b/>
        <w:bCs/>
        <w:noProof/>
        <w:sz w:val="20"/>
      </w:rPr>
      <w:t>2</w:t>
    </w:r>
    <w:r w:rsidRPr="00343C59">
      <w:rPr>
        <w:b/>
        <w:bCs/>
        <w:sz w:val="20"/>
      </w:rPr>
      <w:fldChar w:fldCharType="end"/>
    </w:r>
    <w:r w:rsidRPr="00343C59">
      <w:rPr>
        <w:sz w:val="20"/>
      </w:rPr>
      <w:t xml:space="preserve"> of </w:t>
    </w:r>
    <w:r w:rsidRPr="00343C59">
      <w:rPr>
        <w:b/>
        <w:bCs/>
        <w:sz w:val="20"/>
      </w:rPr>
      <w:fldChar w:fldCharType="begin"/>
    </w:r>
    <w:r w:rsidRPr="00343C59">
      <w:rPr>
        <w:b/>
        <w:bCs/>
        <w:sz w:val="20"/>
      </w:rPr>
      <w:instrText xml:space="preserve"> NUMPAGES  </w:instrText>
    </w:r>
    <w:r w:rsidRPr="00343C59">
      <w:rPr>
        <w:b/>
        <w:bCs/>
        <w:sz w:val="20"/>
      </w:rPr>
      <w:fldChar w:fldCharType="separate"/>
    </w:r>
    <w:r w:rsidRPr="00343C59">
      <w:rPr>
        <w:b/>
        <w:bCs/>
        <w:noProof/>
        <w:sz w:val="20"/>
      </w:rPr>
      <w:t>2</w:t>
    </w:r>
    <w:r w:rsidRPr="00343C59">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F8889" w14:textId="77777777" w:rsidR="00343C59" w:rsidRDefault="00343C59" w:rsidP="00343C59">
      <w:r>
        <w:separator/>
      </w:r>
    </w:p>
  </w:footnote>
  <w:footnote w:type="continuationSeparator" w:id="0">
    <w:p w14:paraId="007F06BF" w14:textId="77777777" w:rsidR="00343C59" w:rsidRDefault="00343C59" w:rsidP="0034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0D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4EA29D3"/>
    <w:multiLevelType w:val="hybridMultilevel"/>
    <w:tmpl w:val="930A8E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C69BF"/>
    <w:multiLevelType w:val="singleLevel"/>
    <w:tmpl w:val="3B6E6994"/>
    <w:lvl w:ilvl="0">
      <w:start w:val="1"/>
      <w:numFmt w:val="decimal"/>
      <w:lvlText w:val="%1."/>
      <w:lvlJc w:val="left"/>
      <w:pPr>
        <w:tabs>
          <w:tab w:val="num" w:pos="360"/>
        </w:tabs>
        <w:ind w:left="360" w:hanging="360"/>
      </w:pPr>
      <w:rPr>
        <w:rFonts w:hint="default"/>
      </w:rPr>
    </w:lvl>
  </w:abstractNum>
  <w:abstractNum w:abstractNumId="3" w15:restartNumberingAfterBreak="0">
    <w:nsid w:val="06B45280"/>
    <w:multiLevelType w:val="singleLevel"/>
    <w:tmpl w:val="32AC395A"/>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0A5E7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A59EB"/>
    <w:multiLevelType w:val="hybridMultilevel"/>
    <w:tmpl w:val="977614A4"/>
    <w:lvl w:ilvl="0" w:tplc="84C4D6B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04D77"/>
    <w:multiLevelType w:val="singleLevel"/>
    <w:tmpl w:val="D1FC6990"/>
    <w:lvl w:ilvl="0">
      <w:start w:val="25"/>
      <w:numFmt w:val="decimal"/>
      <w:lvlText w:val="%1."/>
      <w:lvlJc w:val="left"/>
      <w:pPr>
        <w:tabs>
          <w:tab w:val="num" w:pos="360"/>
        </w:tabs>
        <w:ind w:left="360" w:hanging="360"/>
      </w:pPr>
      <w:rPr>
        <w:rFonts w:ascii="Arial" w:hAnsi="Arial" w:hint="default"/>
        <w:b/>
        <w:i w:val="0"/>
        <w:sz w:val="18"/>
      </w:rPr>
    </w:lvl>
  </w:abstractNum>
  <w:abstractNum w:abstractNumId="7" w15:restartNumberingAfterBreak="0">
    <w:nsid w:val="0FA67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E3609C"/>
    <w:multiLevelType w:val="singleLevel"/>
    <w:tmpl w:val="2DE87D3A"/>
    <w:lvl w:ilvl="0">
      <w:start w:val="4"/>
      <w:numFmt w:val="decimal"/>
      <w:lvlText w:val=""/>
      <w:lvlJc w:val="left"/>
      <w:pPr>
        <w:tabs>
          <w:tab w:val="num" w:pos="360"/>
        </w:tabs>
        <w:ind w:left="360" w:hanging="360"/>
      </w:pPr>
      <w:rPr>
        <w:rFonts w:ascii="Symbol" w:hAnsi="Symbol" w:hint="default"/>
      </w:rPr>
    </w:lvl>
  </w:abstractNum>
  <w:abstractNum w:abstractNumId="9" w15:restartNumberingAfterBreak="0">
    <w:nsid w:val="1B2813CA"/>
    <w:multiLevelType w:val="singleLevel"/>
    <w:tmpl w:val="A0A0B81A"/>
    <w:lvl w:ilvl="0">
      <w:start w:val="1"/>
      <w:numFmt w:val="decimal"/>
      <w:lvlText w:val="%1."/>
      <w:lvlJc w:val="left"/>
      <w:pPr>
        <w:tabs>
          <w:tab w:val="num" w:pos="735"/>
        </w:tabs>
        <w:ind w:left="735" w:hanging="375"/>
      </w:pPr>
      <w:rPr>
        <w:rFonts w:hint="default"/>
      </w:rPr>
    </w:lvl>
  </w:abstractNum>
  <w:abstractNum w:abstractNumId="10" w15:restartNumberingAfterBreak="0">
    <w:nsid w:val="1F582655"/>
    <w:multiLevelType w:val="singleLevel"/>
    <w:tmpl w:val="4F5006C6"/>
    <w:lvl w:ilvl="0">
      <w:start w:val="6"/>
      <w:numFmt w:val="decimal"/>
      <w:lvlText w:val="%1."/>
      <w:lvlJc w:val="left"/>
      <w:pPr>
        <w:tabs>
          <w:tab w:val="num" w:pos="360"/>
        </w:tabs>
        <w:ind w:left="360" w:hanging="360"/>
      </w:pPr>
    </w:lvl>
  </w:abstractNum>
  <w:abstractNum w:abstractNumId="11" w15:restartNumberingAfterBreak="0">
    <w:nsid w:val="244409B1"/>
    <w:multiLevelType w:val="singleLevel"/>
    <w:tmpl w:val="3B6E6994"/>
    <w:lvl w:ilvl="0">
      <w:start w:val="1"/>
      <w:numFmt w:val="decimal"/>
      <w:lvlText w:val="%1."/>
      <w:lvlJc w:val="left"/>
      <w:pPr>
        <w:tabs>
          <w:tab w:val="num" w:pos="360"/>
        </w:tabs>
        <w:ind w:left="360" w:hanging="360"/>
      </w:pPr>
      <w:rPr>
        <w:rFonts w:hint="default"/>
      </w:rPr>
    </w:lvl>
  </w:abstractNum>
  <w:abstractNum w:abstractNumId="12" w15:restartNumberingAfterBreak="0">
    <w:nsid w:val="26665655"/>
    <w:multiLevelType w:val="singleLevel"/>
    <w:tmpl w:val="9E56E1B0"/>
    <w:lvl w:ilvl="0">
      <w:start w:val="1"/>
      <w:numFmt w:val="decimal"/>
      <w:lvlText w:val="%1."/>
      <w:lvlJc w:val="left"/>
      <w:pPr>
        <w:tabs>
          <w:tab w:val="num" w:pos="1260"/>
        </w:tabs>
        <w:ind w:left="1260" w:hanging="540"/>
      </w:pPr>
      <w:rPr>
        <w:rFonts w:hint="default"/>
      </w:rPr>
    </w:lvl>
  </w:abstractNum>
  <w:abstractNum w:abstractNumId="13" w15:restartNumberingAfterBreak="0">
    <w:nsid w:val="284763F6"/>
    <w:multiLevelType w:val="hybridMultilevel"/>
    <w:tmpl w:val="EECE01BC"/>
    <w:lvl w:ilvl="0" w:tplc="E77A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70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725CED"/>
    <w:multiLevelType w:val="singleLevel"/>
    <w:tmpl w:val="7B945902"/>
    <w:lvl w:ilvl="0">
      <w:start w:val="3"/>
      <w:numFmt w:val="decimal"/>
      <w:lvlText w:val="%1."/>
      <w:lvlJc w:val="left"/>
      <w:pPr>
        <w:tabs>
          <w:tab w:val="num" w:pos="720"/>
        </w:tabs>
        <w:ind w:left="720" w:hanging="360"/>
      </w:pPr>
      <w:rPr>
        <w:rFonts w:hint="default"/>
      </w:rPr>
    </w:lvl>
  </w:abstractNum>
  <w:abstractNum w:abstractNumId="16" w15:restartNumberingAfterBreak="0">
    <w:nsid w:val="36B62BC1"/>
    <w:multiLevelType w:val="singleLevel"/>
    <w:tmpl w:val="B2589122"/>
    <w:lvl w:ilvl="0">
      <w:start w:val="2"/>
      <w:numFmt w:val="decimal"/>
      <w:lvlText w:val="%1."/>
      <w:lvlJc w:val="left"/>
      <w:pPr>
        <w:tabs>
          <w:tab w:val="num" w:pos="735"/>
        </w:tabs>
        <w:ind w:left="735" w:hanging="375"/>
      </w:pPr>
      <w:rPr>
        <w:rFonts w:hint="default"/>
      </w:rPr>
    </w:lvl>
  </w:abstractNum>
  <w:abstractNum w:abstractNumId="17" w15:restartNumberingAfterBreak="0">
    <w:nsid w:val="37516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AC6884"/>
    <w:multiLevelType w:val="hybridMultilevel"/>
    <w:tmpl w:val="9F88A2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92723"/>
    <w:multiLevelType w:val="singleLevel"/>
    <w:tmpl w:val="48E01C5E"/>
    <w:lvl w:ilvl="0">
      <w:start w:val="1"/>
      <w:numFmt w:val="decimal"/>
      <w:lvlText w:val="%1."/>
      <w:lvlJc w:val="left"/>
      <w:pPr>
        <w:tabs>
          <w:tab w:val="num" w:pos="720"/>
        </w:tabs>
        <w:ind w:left="720" w:hanging="360"/>
      </w:pPr>
      <w:rPr>
        <w:rFonts w:hint="default"/>
      </w:rPr>
    </w:lvl>
  </w:abstractNum>
  <w:abstractNum w:abstractNumId="20" w15:restartNumberingAfterBreak="0">
    <w:nsid w:val="48A10CD7"/>
    <w:multiLevelType w:val="singleLevel"/>
    <w:tmpl w:val="68A01E44"/>
    <w:lvl w:ilvl="0">
      <w:start w:val="11"/>
      <w:numFmt w:val="decimal"/>
      <w:lvlText w:val="%1."/>
      <w:lvlJc w:val="left"/>
      <w:pPr>
        <w:tabs>
          <w:tab w:val="num" w:pos="360"/>
        </w:tabs>
        <w:ind w:left="360" w:hanging="360"/>
      </w:pPr>
      <w:rPr>
        <w:rFonts w:ascii="Arial" w:hAnsi="Arial" w:hint="default"/>
        <w:sz w:val="18"/>
      </w:rPr>
    </w:lvl>
  </w:abstractNum>
  <w:abstractNum w:abstractNumId="21" w15:restartNumberingAfterBreak="0">
    <w:nsid w:val="49EE01D7"/>
    <w:multiLevelType w:val="singleLevel"/>
    <w:tmpl w:val="9CB8DEE8"/>
    <w:lvl w:ilvl="0">
      <w:start w:val="1"/>
      <w:numFmt w:val="upperLetter"/>
      <w:lvlText w:val="%1."/>
      <w:lvlJc w:val="left"/>
      <w:pPr>
        <w:tabs>
          <w:tab w:val="num" w:pos="1260"/>
        </w:tabs>
        <w:ind w:left="1260" w:hanging="540"/>
      </w:pPr>
      <w:rPr>
        <w:rFonts w:hint="default"/>
      </w:rPr>
    </w:lvl>
  </w:abstractNum>
  <w:abstractNum w:abstractNumId="22" w15:restartNumberingAfterBreak="0">
    <w:nsid w:val="4BCC08D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9111F0B"/>
    <w:multiLevelType w:val="singleLevel"/>
    <w:tmpl w:val="2348D092"/>
    <w:lvl w:ilvl="0">
      <w:start w:val="2"/>
      <w:numFmt w:val="decimal"/>
      <w:lvlText w:val="%1."/>
      <w:lvlJc w:val="left"/>
      <w:pPr>
        <w:tabs>
          <w:tab w:val="num" w:pos="720"/>
        </w:tabs>
        <w:ind w:left="720" w:hanging="360"/>
      </w:pPr>
      <w:rPr>
        <w:rFonts w:hint="default"/>
      </w:rPr>
    </w:lvl>
  </w:abstractNum>
  <w:abstractNum w:abstractNumId="24" w15:restartNumberingAfterBreak="0">
    <w:nsid w:val="5D93216E"/>
    <w:multiLevelType w:val="singleLevel"/>
    <w:tmpl w:val="3B6E6994"/>
    <w:lvl w:ilvl="0">
      <w:start w:val="1"/>
      <w:numFmt w:val="decimal"/>
      <w:lvlText w:val="%1."/>
      <w:lvlJc w:val="left"/>
      <w:pPr>
        <w:tabs>
          <w:tab w:val="num" w:pos="360"/>
        </w:tabs>
        <w:ind w:left="360" w:hanging="360"/>
      </w:pPr>
      <w:rPr>
        <w:rFonts w:hint="default"/>
      </w:rPr>
    </w:lvl>
  </w:abstractNum>
  <w:abstractNum w:abstractNumId="25" w15:restartNumberingAfterBreak="0">
    <w:nsid w:val="68B41CCE"/>
    <w:multiLevelType w:val="hybridMultilevel"/>
    <w:tmpl w:val="C5F62674"/>
    <w:lvl w:ilvl="0" w:tplc="268E7F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1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EF5D96"/>
    <w:multiLevelType w:val="singleLevel"/>
    <w:tmpl w:val="9B521118"/>
    <w:lvl w:ilvl="0">
      <w:start w:val="1"/>
      <w:numFmt w:val="bullet"/>
      <w:lvlText w:val=""/>
      <w:lvlJc w:val="left"/>
      <w:pPr>
        <w:tabs>
          <w:tab w:val="num" w:pos="360"/>
        </w:tabs>
        <w:ind w:left="216" w:hanging="216"/>
      </w:pPr>
      <w:rPr>
        <w:rFonts w:ascii="Symbol" w:hAnsi="Symbol" w:hint="default"/>
      </w:rPr>
    </w:lvl>
  </w:abstractNum>
  <w:abstractNum w:abstractNumId="28" w15:restartNumberingAfterBreak="0">
    <w:nsid w:val="7F035C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19"/>
  </w:num>
  <w:num w:numId="4">
    <w:abstractNumId w:val="23"/>
  </w:num>
  <w:num w:numId="5">
    <w:abstractNumId w:val="15"/>
  </w:num>
  <w:num w:numId="6">
    <w:abstractNumId w:val="9"/>
  </w:num>
  <w:num w:numId="7">
    <w:abstractNumId w:val="16"/>
  </w:num>
  <w:num w:numId="8">
    <w:abstractNumId w:val="8"/>
  </w:num>
  <w:num w:numId="9">
    <w:abstractNumId w:val="4"/>
  </w:num>
  <w:num w:numId="10">
    <w:abstractNumId w:val="14"/>
  </w:num>
  <w:num w:numId="11">
    <w:abstractNumId w:val="21"/>
  </w:num>
  <w:num w:numId="12">
    <w:abstractNumId w:val="12"/>
  </w:num>
  <w:num w:numId="13">
    <w:abstractNumId w:val="2"/>
  </w:num>
  <w:num w:numId="14">
    <w:abstractNumId w:val="10"/>
  </w:num>
  <w:num w:numId="15">
    <w:abstractNumId w:val="20"/>
  </w:num>
  <w:num w:numId="16">
    <w:abstractNumId w:val="28"/>
  </w:num>
  <w:num w:numId="17">
    <w:abstractNumId w:val="26"/>
  </w:num>
  <w:num w:numId="18">
    <w:abstractNumId w:val="7"/>
  </w:num>
  <w:num w:numId="19">
    <w:abstractNumId w:val="27"/>
  </w:num>
  <w:num w:numId="20">
    <w:abstractNumId w:val="3"/>
  </w:num>
  <w:num w:numId="21">
    <w:abstractNumId w:val="17"/>
  </w:num>
  <w:num w:numId="22">
    <w:abstractNumId w:val="24"/>
  </w:num>
  <w:num w:numId="23">
    <w:abstractNumId w:val="6"/>
  </w:num>
  <w:num w:numId="24">
    <w:abstractNumId w:val="5"/>
  </w:num>
  <w:num w:numId="25">
    <w:abstractNumId w:val="1"/>
  </w:num>
  <w:num w:numId="26">
    <w:abstractNumId w:val="25"/>
  </w:num>
  <w:num w:numId="27">
    <w:abstractNumId w:val="18"/>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FB1"/>
    <w:rsid w:val="000D4FB1"/>
    <w:rsid w:val="00146AEC"/>
    <w:rsid w:val="001875E4"/>
    <w:rsid w:val="001A7AF9"/>
    <w:rsid w:val="001D7956"/>
    <w:rsid w:val="00343C59"/>
    <w:rsid w:val="00384377"/>
    <w:rsid w:val="004042E5"/>
    <w:rsid w:val="004C7543"/>
    <w:rsid w:val="005430FD"/>
    <w:rsid w:val="00585EDF"/>
    <w:rsid w:val="005E35FE"/>
    <w:rsid w:val="00652487"/>
    <w:rsid w:val="0078132F"/>
    <w:rsid w:val="00864115"/>
    <w:rsid w:val="008E22E0"/>
    <w:rsid w:val="00AF081D"/>
    <w:rsid w:val="00B22B37"/>
    <w:rsid w:val="00B40F19"/>
    <w:rsid w:val="00C83467"/>
    <w:rsid w:val="00CC5DD8"/>
    <w:rsid w:val="00CD052C"/>
    <w:rsid w:val="00CE325F"/>
    <w:rsid w:val="00D6122A"/>
    <w:rsid w:val="00E03283"/>
    <w:rsid w:val="00E429D2"/>
    <w:rsid w:val="00EA1061"/>
    <w:rsid w:val="00F5739B"/>
    <w:rsid w:val="00F63C91"/>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ECD92"/>
  <w15:chartTrackingRefBased/>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FB1"/>
    <w:rPr>
      <w:rFonts w:ascii="Arial" w:hAnsi="Arial"/>
      <w:sz w:val="22"/>
    </w:rPr>
  </w:style>
  <w:style w:type="paragraph" w:styleId="Heading1">
    <w:name w:val="heading 1"/>
    <w:basedOn w:val="Normal"/>
    <w:next w:val="Normal"/>
    <w:qFormat/>
    <w:rsid w:val="000D4FB1"/>
    <w:pPr>
      <w:keepNext/>
      <w:outlineLvl w:val="0"/>
    </w:pPr>
    <w:rPr>
      <w:rFonts w:ascii="Bookman Old Style" w:hAnsi="Bookman Old Style"/>
      <w:b/>
    </w:rPr>
  </w:style>
  <w:style w:type="paragraph" w:styleId="Heading2">
    <w:name w:val="heading 2"/>
    <w:basedOn w:val="Normal"/>
    <w:next w:val="Normal"/>
    <w:qFormat/>
    <w:rsid w:val="000D4FB1"/>
    <w:pPr>
      <w:keepNext/>
      <w:jc w:val="center"/>
      <w:outlineLvl w:val="1"/>
    </w:pPr>
    <w:rPr>
      <w:rFonts w:ascii="Bookman Old Style" w:hAnsi="Bookman Old Style"/>
      <w:b/>
      <w:sz w:val="28"/>
    </w:rPr>
  </w:style>
  <w:style w:type="paragraph" w:styleId="Heading4">
    <w:name w:val="heading 4"/>
    <w:basedOn w:val="Normal"/>
    <w:next w:val="Normal"/>
    <w:qFormat/>
    <w:rsid w:val="000D4FB1"/>
    <w:pPr>
      <w:keepNext/>
      <w:outlineLvl w:val="3"/>
    </w:pPr>
    <w:rPr>
      <w:rFonts w:ascii="Bookman Old Style" w:hAnsi="Bookman Old Style"/>
      <w:b/>
      <w:sz w:val="20"/>
    </w:rPr>
  </w:style>
  <w:style w:type="paragraph" w:styleId="Heading5">
    <w:name w:val="heading 5"/>
    <w:basedOn w:val="Normal"/>
    <w:next w:val="Normal"/>
    <w:qFormat/>
    <w:rsid w:val="000D4FB1"/>
    <w:pPr>
      <w:keepNext/>
      <w:jc w:val="center"/>
      <w:outlineLvl w:val="4"/>
    </w:pPr>
    <w:rPr>
      <w:rFonts w:ascii="Bookman Old Style" w:hAnsi="Bookman Old Style"/>
      <w:b/>
      <w:sz w:val="20"/>
    </w:rPr>
  </w:style>
  <w:style w:type="paragraph" w:styleId="Heading6">
    <w:name w:val="heading 6"/>
    <w:basedOn w:val="Normal"/>
    <w:next w:val="Normal"/>
    <w:qFormat/>
    <w:rsid w:val="000D4FB1"/>
    <w:pPr>
      <w:keepNext/>
      <w:jc w:val="center"/>
      <w:outlineLvl w:val="5"/>
    </w:pPr>
    <w:rPr>
      <w:rFonts w:ascii="Bookman Old Style" w:hAnsi="Bookman Old Style"/>
      <w:b/>
      <w:sz w:val="24"/>
    </w:rPr>
  </w:style>
  <w:style w:type="paragraph" w:styleId="Heading7">
    <w:name w:val="heading 7"/>
    <w:basedOn w:val="Normal"/>
    <w:next w:val="Normal"/>
    <w:qFormat/>
    <w:rsid w:val="000D4FB1"/>
    <w:pPr>
      <w:keepNext/>
      <w:jc w:val="center"/>
      <w:outlineLvl w:val="6"/>
    </w:pPr>
    <w:rPr>
      <w:b/>
      <w:snapToGrid w:val="0"/>
      <w:color w:val="000000"/>
      <w:sz w:val="16"/>
    </w:rPr>
  </w:style>
  <w:style w:type="paragraph" w:styleId="Heading8">
    <w:name w:val="heading 8"/>
    <w:basedOn w:val="Normal"/>
    <w:next w:val="Normal"/>
    <w:qFormat/>
    <w:rsid w:val="000D4FB1"/>
    <w:pPr>
      <w:keepNext/>
      <w:outlineLvl w:val="7"/>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FB1"/>
    <w:pPr>
      <w:tabs>
        <w:tab w:val="center" w:pos="4320"/>
        <w:tab w:val="right" w:pos="8640"/>
      </w:tabs>
    </w:pPr>
  </w:style>
  <w:style w:type="paragraph" w:styleId="BodyText">
    <w:name w:val="Body Text"/>
    <w:basedOn w:val="Normal"/>
    <w:rsid w:val="000D4FB1"/>
    <w:rPr>
      <w:rFonts w:ascii="Bookman Old Style" w:hAnsi="Bookman Old Style"/>
      <w:i/>
    </w:rPr>
  </w:style>
  <w:style w:type="paragraph" w:styleId="BodyText2">
    <w:name w:val="Body Text 2"/>
    <w:basedOn w:val="Normal"/>
    <w:rsid w:val="000D4FB1"/>
    <w:rPr>
      <w:rFonts w:ascii="Bookman Old Style" w:hAnsi="Bookman Old Style"/>
      <w:sz w:val="20"/>
    </w:rPr>
  </w:style>
  <w:style w:type="paragraph" w:styleId="BodyTextIndent">
    <w:name w:val="Body Text Indent"/>
    <w:basedOn w:val="Normal"/>
    <w:rsid w:val="000D4FB1"/>
    <w:pPr>
      <w:ind w:left="360"/>
    </w:pPr>
  </w:style>
  <w:style w:type="paragraph" w:styleId="BodyText3">
    <w:name w:val="Body Text 3"/>
    <w:basedOn w:val="Normal"/>
    <w:rsid w:val="000D4FB1"/>
    <w:rPr>
      <w:sz w:val="18"/>
    </w:rPr>
  </w:style>
  <w:style w:type="character" w:styleId="Hyperlink">
    <w:name w:val="Hyperlink"/>
    <w:uiPriority w:val="99"/>
    <w:unhideWhenUsed/>
    <w:rsid w:val="00E429D2"/>
    <w:rPr>
      <w:color w:val="0000FF"/>
      <w:u w:val="single"/>
    </w:rPr>
  </w:style>
  <w:style w:type="paragraph" w:styleId="Footer">
    <w:name w:val="footer"/>
    <w:basedOn w:val="Normal"/>
    <w:link w:val="FooterChar"/>
    <w:uiPriority w:val="99"/>
    <w:rsid w:val="00343C59"/>
    <w:pPr>
      <w:tabs>
        <w:tab w:val="center" w:pos="4680"/>
        <w:tab w:val="right" w:pos="9360"/>
      </w:tabs>
    </w:pPr>
  </w:style>
  <w:style w:type="character" w:customStyle="1" w:styleId="FooterChar">
    <w:name w:val="Footer Char"/>
    <w:link w:val="Footer"/>
    <w:uiPriority w:val="99"/>
    <w:rsid w:val="00343C5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81198">
      <w:bodyDiv w:val="1"/>
      <w:marLeft w:val="0"/>
      <w:marRight w:val="0"/>
      <w:marTop w:val="0"/>
      <w:marBottom w:val="0"/>
      <w:divBdr>
        <w:top w:val="none" w:sz="0" w:space="0" w:color="auto"/>
        <w:left w:val="none" w:sz="0" w:space="0" w:color="auto"/>
        <w:bottom w:val="none" w:sz="0" w:space="0" w:color="auto"/>
        <w:right w:val="none" w:sz="0" w:space="0" w:color="auto"/>
      </w:divBdr>
    </w:div>
    <w:div w:id="11605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33E6D4FPPFNA-223884491-2405</_dlc_DocId>
    <Document_x0020_Year xmlns="9e30f06f-ad7a-453a-8e08-8a8878e30bd1" xsi:nil="true"/>
    <_dlc_DocIdUrl xmlns="bb65cc95-6d4e-4879-a879-9838761499af">
      <Url>https://doa.wi.gov/_layouts/15/DocIdRedir.aspx?ID=33E6D4FPPFNA-223884491-2405</Url>
      <Description>33E6D4FPPFNA-223884491-2405</Description>
    </_dlc_DocIdUrl>
  </documentManagement>
</p:properties>
</file>

<file path=customXml/itemProps1.xml><?xml version="1.0" encoding="utf-8"?>
<ds:datastoreItem xmlns:ds="http://schemas.openxmlformats.org/officeDocument/2006/customXml" ds:itemID="{C97A5ADE-56A5-4908-86D4-84F7F6A49529}"/>
</file>

<file path=customXml/itemProps2.xml><?xml version="1.0" encoding="utf-8"?>
<ds:datastoreItem xmlns:ds="http://schemas.openxmlformats.org/officeDocument/2006/customXml" ds:itemID="{104A0B55-01B9-458B-AD3E-7A59854A2EB2}"/>
</file>

<file path=customXml/itemProps3.xml><?xml version="1.0" encoding="utf-8"?>
<ds:datastoreItem xmlns:ds="http://schemas.openxmlformats.org/officeDocument/2006/customXml" ds:itemID="{E78F3B08-A9FF-4270-A704-C57DDDD1DE2E}"/>
</file>

<file path=customXml/itemProps4.xml><?xml version="1.0" encoding="utf-8"?>
<ds:datastoreItem xmlns:ds="http://schemas.openxmlformats.org/officeDocument/2006/customXml" ds:itemID="{4BA09999-6487-44FC-AAE0-B3D28FEDC8E5}"/>
</file>

<file path=docProps/app.xml><?xml version="1.0" encoding="utf-8"?>
<Properties xmlns="http://schemas.openxmlformats.org/officeDocument/2006/extended-properties" xmlns:vt="http://schemas.openxmlformats.org/officeDocument/2006/docPropsVTypes">
  <Template>Normal</Template>
  <TotalTime>40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Environmental Review Requirements</vt:lpstr>
    </vt:vector>
  </TitlesOfParts>
  <Company>Wisconsin Department of Commerce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Requirements</dc:title>
  <dc:subject/>
  <dc:creator>Tanya Iverson</dc:creator>
  <cp:keywords/>
  <cp:lastModifiedBy>Isaak, Sarah - DOA</cp:lastModifiedBy>
  <cp:revision>16</cp:revision>
  <dcterms:created xsi:type="dcterms:W3CDTF">2018-10-10T15:45:00Z</dcterms:created>
  <dcterms:modified xsi:type="dcterms:W3CDTF">2019-02-19T16:06:00Z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9d79d8d8-4536-4183-8c54-d3df95dc6c1c</vt:lpwstr>
  </property>
  <property fmtid="{D5CDD505-2E9C-101B-9397-08002B2CF9AE}" pid="3" name="ContentTypeId">
    <vt:lpwstr>0x0101004EF7B3F25A96C54C9B76362B105D646D</vt:lpwstr>
  </property>
</Properties>
</file>