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CD8A" w14:textId="77777777" w:rsidR="00110156" w:rsidRPr="0023507E" w:rsidRDefault="00207880" w:rsidP="00CF1C22">
      <w:pPr>
        <w:pStyle w:val="Title"/>
        <w:spacing w:after="120"/>
        <w:rPr>
          <w:sz w:val="40"/>
        </w:rPr>
      </w:pPr>
      <w:r w:rsidRPr="0023507E">
        <w:rPr>
          <w:sz w:val="40"/>
        </w:rPr>
        <w:t>Continuum Performance</w:t>
      </w:r>
    </w:p>
    <w:p w14:paraId="09D1EE18" w14:textId="07CDC24B" w:rsidR="00207880" w:rsidRDefault="0023507E" w:rsidP="00520C51">
      <w:r>
        <w:t xml:space="preserve">Part 1 </w:t>
      </w:r>
      <w:r w:rsidR="00B036BE">
        <w:t>should</w:t>
      </w:r>
      <w:r w:rsidR="00681BF4" w:rsidRPr="00520C51">
        <w:t xml:space="preserve"> be completed </w:t>
      </w:r>
      <w:r w:rsidR="00207880" w:rsidRPr="00520C51">
        <w:t>with input from</w:t>
      </w:r>
      <w:r w:rsidR="00887C12">
        <w:t xml:space="preserve"> </w:t>
      </w:r>
      <w:r w:rsidR="00245A3C" w:rsidRPr="00520C51">
        <w:t>member agencies of the</w:t>
      </w:r>
      <w:r w:rsidR="00126895" w:rsidRPr="00520C51">
        <w:t xml:space="preserve"> HUD or</w:t>
      </w:r>
      <w:r w:rsidR="00245A3C" w:rsidRPr="00520C51">
        <w:t xml:space="preserve"> local Continuum of Care (COC)</w:t>
      </w:r>
      <w:r w:rsidR="00B036BE">
        <w:t xml:space="preserve">, </w:t>
      </w:r>
      <w:r w:rsidR="00245A3C" w:rsidRPr="00520C51">
        <w:t>includ</w:t>
      </w:r>
      <w:r w:rsidR="00B036BE">
        <w:t>ing</w:t>
      </w:r>
      <w:r w:rsidR="00245A3C" w:rsidRPr="00520C51">
        <w:t xml:space="preserve"> </w:t>
      </w:r>
      <w:r w:rsidR="00BF2468" w:rsidRPr="00520C51">
        <w:t>non</w:t>
      </w:r>
      <w:r w:rsidR="00BF2468">
        <w:t>-</w:t>
      </w:r>
      <w:r w:rsidR="00E6102A">
        <w:t>EHH</w:t>
      </w:r>
      <w:r w:rsidR="00245A3C" w:rsidRPr="00520C51">
        <w:t xml:space="preserve"> funded agencies. </w:t>
      </w:r>
    </w:p>
    <w:p w14:paraId="37014E4A" w14:textId="77777777" w:rsidR="00207880" w:rsidRPr="00CF1C22" w:rsidRDefault="00C351A8" w:rsidP="00D9612F">
      <w:pPr>
        <w:pStyle w:val="Heading1"/>
        <w:spacing w:before="240" w:after="120"/>
        <w:rPr>
          <w:sz w:val="32"/>
        </w:rPr>
      </w:pPr>
      <w:r w:rsidRPr="00CF1C22">
        <w:rPr>
          <w:sz w:val="32"/>
        </w:rPr>
        <w:t>Part</w:t>
      </w:r>
      <w:r w:rsidR="00207880" w:rsidRPr="00CF1C22">
        <w:rPr>
          <w:sz w:val="32"/>
        </w:rPr>
        <w:t xml:space="preserve"> 1: Allocation Process</w:t>
      </w:r>
    </w:p>
    <w:p w14:paraId="581FC400" w14:textId="1E07B562" w:rsidR="00A727C5" w:rsidRDefault="00126895" w:rsidP="00520C51">
      <w:r>
        <w:t xml:space="preserve">HUD and local COCs are required to </w:t>
      </w:r>
      <w:r w:rsidR="00C933A6">
        <w:t xml:space="preserve">incorporate </w:t>
      </w:r>
      <w:r>
        <w:t>performance data in</w:t>
      </w:r>
      <w:r w:rsidR="00C933A6">
        <w:t>to</w:t>
      </w:r>
      <w:r>
        <w:t xml:space="preserve"> their</w:t>
      </w:r>
      <w:r w:rsidR="00C933A6">
        <w:t xml:space="preserve"> funding allocation process</w:t>
      </w:r>
      <w:r>
        <w:t xml:space="preserve">. </w:t>
      </w:r>
      <w:r w:rsidR="00C933A6">
        <w:t xml:space="preserve">This can be done </w:t>
      </w:r>
      <w:r w:rsidR="00ED0326">
        <w:t>in two ways</w:t>
      </w:r>
      <w:r w:rsidR="00C933A6">
        <w:t>:</w:t>
      </w:r>
    </w:p>
    <w:p w14:paraId="390033C7" w14:textId="47ACA96D" w:rsidR="00A727C5" w:rsidRDefault="00026F95" w:rsidP="00D9612F">
      <w:pPr>
        <w:pStyle w:val="ListParagraph"/>
        <w:numPr>
          <w:ilvl w:val="0"/>
          <w:numId w:val="22"/>
        </w:numPr>
      </w:pPr>
      <w:r>
        <w:t xml:space="preserve">Use data and/or evidence to divide funding </w:t>
      </w:r>
      <w:r w:rsidR="00A727C5">
        <w:t>among</w:t>
      </w:r>
      <w:r>
        <w:t xml:space="preserve"> </w:t>
      </w:r>
      <w:r w:rsidRPr="00026F95">
        <w:rPr>
          <w:u w:val="single"/>
        </w:rPr>
        <w:t>project types</w:t>
      </w:r>
      <w:r>
        <w:t xml:space="preserve">. </w:t>
      </w:r>
      <w:r w:rsidR="00126895">
        <w:t xml:space="preserve">For example, </w:t>
      </w:r>
      <w:r w:rsidR="00C933A6">
        <w:t xml:space="preserve">COCs </w:t>
      </w:r>
      <w:r>
        <w:t>may assess client needs and their system’s performance to determine the best way to divide funding between shelter, rapid re-housing, homelessness prevention, and street outreach (</w:t>
      </w:r>
      <w:r w:rsidR="00C933A6">
        <w:t>e.g.</w:t>
      </w:r>
      <w:r>
        <w:t xml:space="preserve"> if average length of homelessness is high,</w:t>
      </w:r>
      <w:r w:rsidR="00C933A6">
        <w:t xml:space="preserve"> they can</w:t>
      </w:r>
      <w:r>
        <w:t xml:space="preserve"> invest in strategies that reduce average length of homelessness</w:t>
      </w:r>
      <w:r w:rsidR="003B189D">
        <w:t xml:space="preserve">; </w:t>
      </w:r>
      <w:r>
        <w:t xml:space="preserve">if there are many people experiencing chronic homelessness on the streets, </w:t>
      </w:r>
      <w:r w:rsidR="00C933A6">
        <w:t xml:space="preserve">they can </w:t>
      </w:r>
      <w:r>
        <w:t>invest in street outreach</w:t>
      </w:r>
      <w:r w:rsidR="00C933A6">
        <w:t>;</w:t>
      </w:r>
      <w:r>
        <w:t xml:space="preserve"> etc.)</w:t>
      </w:r>
      <w:r w:rsidR="003E14A1">
        <w:t xml:space="preserve"> </w:t>
      </w:r>
    </w:p>
    <w:p w14:paraId="57CF2100" w14:textId="77777777" w:rsidR="00126895" w:rsidRDefault="00026F95" w:rsidP="00026F95">
      <w:pPr>
        <w:pStyle w:val="ListParagraph"/>
        <w:numPr>
          <w:ilvl w:val="0"/>
          <w:numId w:val="22"/>
        </w:numPr>
      </w:pPr>
      <w:r>
        <w:t xml:space="preserve">Use data and/or evidence to divide funding among </w:t>
      </w:r>
      <w:r w:rsidRPr="00026F95">
        <w:rPr>
          <w:u w:val="single"/>
        </w:rPr>
        <w:t>applicants of the same project type</w:t>
      </w:r>
      <w:r>
        <w:t>.</w:t>
      </w:r>
      <w:r w:rsidR="003E14A1">
        <w:t xml:space="preserve"> </w:t>
      </w:r>
      <w:r>
        <w:t>For exa</w:t>
      </w:r>
      <w:r w:rsidR="003B189D">
        <w:t xml:space="preserve">mple, </w:t>
      </w:r>
      <w:r w:rsidR="00C933A6">
        <w:t>COCs</w:t>
      </w:r>
      <w:r w:rsidR="00A727C5">
        <w:t xml:space="preserve"> </w:t>
      </w:r>
      <w:r w:rsidR="00126895">
        <w:t>may use occupancy rate data from the Housing Inventory Chart, average length of stay, exits to permanent housing and</w:t>
      </w:r>
      <w:r w:rsidR="00557621">
        <w:t>/or</w:t>
      </w:r>
      <w:r w:rsidR="00126895">
        <w:t xml:space="preserve"> total clients served </w:t>
      </w:r>
      <w:r w:rsidR="00C933A6">
        <w:t xml:space="preserve">to divide </w:t>
      </w:r>
      <w:r w:rsidR="00126895">
        <w:t>funds among shelters</w:t>
      </w:r>
      <w:r w:rsidR="00C933A6">
        <w:t xml:space="preserve"> according to their performance</w:t>
      </w:r>
      <w:r w:rsidR="00126895">
        <w:t>.</w:t>
      </w:r>
      <w:r w:rsidR="003E14A1">
        <w:t xml:space="preserve"> </w:t>
      </w:r>
    </w:p>
    <w:p w14:paraId="0C0DFA33" w14:textId="0F40AE49" w:rsidR="00851C7B" w:rsidRDefault="00851C7B" w:rsidP="00A727C5"/>
    <w:p w14:paraId="0F442429" w14:textId="29E8B327" w:rsidR="00A727C5" w:rsidRPr="00126895" w:rsidRDefault="00851C7B" w:rsidP="00A727C5">
      <w:r>
        <w:t xml:space="preserve">When going through this process, </w:t>
      </w:r>
      <w:r w:rsidR="00643ED7">
        <w:t xml:space="preserve">HUD and local COCs are </w:t>
      </w:r>
      <w:r>
        <w:t>encouraged to consider</w:t>
      </w:r>
      <w:r w:rsidR="00BB576A">
        <w:t xml:space="preserve"> both</w:t>
      </w:r>
      <w:r w:rsidR="00643ED7">
        <w:t xml:space="preserve"> </w:t>
      </w:r>
      <w:r w:rsidR="00BB576A">
        <w:t>(</w:t>
      </w:r>
      <w:r w:rsidR="00643ED7">
        <w:t>A</w:t>
      </w:r>
      <w:r>
        <w:t>) how each individual agency’s performance is affecting the system</w:t>
      </w:r>
      <w:r w:rsidR="00BB576A">
        <w:t>’s</w:t>
      </w:r>
      <w:r>
        <w:t xml:space="preserve"> performance measures</w:t>
      </w:r>
      <w:r w:rsidR="00643ED7">
        <w:t xml:space="preserve"> and </w:t>
      </w:r>
      <w:r w:rsidR="00BB576A">
        <w:t>(</w:t>
      </w:r>
      <w:r w:rsidR="00643ED7">
        <w:t>B</w:t>
      </w:r>
      <w:r>
        <w:t>) how funds can be allocated in the most efficient way possible</w:t>
      </w:r>
      <w:r w:rsidR="003B189D">
        <w:t>.</w:t>
      </w:r>
    </w:p>
    <w:p w14:paraId="062D90C0" w14:textId="77777777" w:rsidR="00CF1C22" w:rsidRPr="00110156" w:rsidRDefault="00CF1C22" w:rsidP="00520C51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207880" w:rsidRPr="00110156" w14:paraId="0CE565CF" w14:textId="77777777" w:rsidTr="00505C89">
        <w:tc>
          <w:tcPr>
            <w:tcW w:w="10350" w:type="dxa"/>
            <w:shd w:val="clear" w:color="auto" w:fill="000000"/>
          </w:tcPr>
          <w:p w14:paraId="67A7012F" w14:textId="5E2E0389" w:rsidR="00207880" w:rsidRPr="00110156" w:rsidRDefault="00CF1C22" w:rsidP="00C87B26">
            <w:pPr>
              <w:pStyle w:val="ListParagraph"/>
              <w:numPr>
                <w:ilvl w:val="0"/>
                <w:numId w:val="20"/>
              </w:numPr>
            </w:pPr>
            <w:bookmarkStart w:id="0" w:name="OLE_LINK1"/>
            <w:r>
              <w:t>R</w:t>
            </w:r>
            <w:r w:rsidR="00A27646">
              <w:t>eview your COC’s Performance Measure</w:t>
            </w:r>
            <w:r w:rsidR="00583575">
              <w:t xml:space="preserve"> data</w:t>
            </w:r>
            <w:r w:rsidR="00643ED7">
              <w:t xml:space="preserve"> and </w:t>
            </w:r>
            <w:r w:rsidR="00C87B26">
              <w:t>respond to each of the following</w:t>
            </w:r>
            <w:r w:rsidR="00643ED7">
              <w:t>:</w:t>
            </w:r>
            <w:r w:rsidR="003E14A1">
              <w:t xml:space="preserve"> </w:t>
            </w:r>
          </w:p>
        </w:tc>
      </w:tr>
      <w:tr w:rsidR="00207880" w:rsidRPr="00110156" w14:paraId="12C2B4E2" w14:textId="77777777" w:rsidTr="00B036BE">
        <w:trPr>
          <w:trHeight w:val="4896"/>
        </w:trPr>
        <w:tc>
          <w:tcPr>
            <w:tcW w:w="10350" w:type="dxa"/>
            <w:shd w:val="clear" w:color="auto" w:fill="auto"/>
          </w:tcPr>
          <w:p w14:paraId="4CD5313A" w14:textId="196AB6C1" w:rsidR="000627E6" w:rsidRDefault="00C87B26" w:rsidP="00766CB2">
            <w:pPr>
              <w:pStyle w:val="ListParagraph"/>
              <w:numPr>
                <w:ilvl w:val="1"/>
                <w:numId w:val="20"/>
              </w:numPr>
              <w:spacing w:before="120"/>
              <w:ind w:left="720"/>
            </w:pPr>
            <w:r w:rsidRPr="007A7A79">
              <w:t>In what areas is your COC’s performance in need of improvement?</w:t>
            </w:r>
          </w:p>
          <w:p w14:paraId="2996C244" w14:textId="0AA56B2F" w:rsidR="00B036BE" w:rsidRDefault="00B036BE" w:rsidP="00B036BE">
            <w:pPr>
              <w:spacing w:before="120"/>
            </w:pPr>
          </w:p>
          <w:p w14:paraId="070DA7F8" w14:textId="77777777" w:rsidR="00B026ED" w:rsidRDefault="00B026ED" w:rsidP="00B036BE">
            <w:pPr>
              <w:spacing w:before="120"/>
            </w:pPr>
          </w:p>
          <w:p w14:paraId="29CE664C" w14:textId="1B4A0C0B" w:rsidR="00C87B26" w:rsidRDefault="00C87B26" w:rsidP="00C87B26">
            <w:pPr>
              <w:ind w:left="-720"/>
            </w:pPr>
          </w:p>
          <w:p w14:paraId="02BCBCD2" w14:textId="77777777" w:rsidR="00766CB2" w:rsidRDefault="00766CB2" w:rsidP="00C87B26">
            <w:pPr>
              <w:ind w:left="-720"/>
            </w:pPr>
          </w:p>
          <w:p w14:paraId="362A2228" w14:textId="491F125E" w:rsidR="000627E6" w:rsidRDefault="00C87B26" w:rsidP="000627E6">
            <w:pPr>
              <w:pStyle w:val="ListParagraph"/>
              <w:numPr>
                <w:ilvl w:val="1"/>
                <w:numId w:val="20"/>
              </w:numPr>
              <w:ind w:left="720"/>
            </w:pPr>
            <w:r>
              <w:t xml:space="preserve">What is your plan to improve </w:t>
            </w:r>
            <w:r w:rsidR="00B026ED">
              <w:t xml:space="preserve">at least one of </w:t>
            </w:r>
            <w:r w:rsidR="000627E6">
              <w:t>the areas identified above</w:t>
            </w:r>
            <w:r>
              <w:t xml:space="preserve"> in the next year?</w:t>
            </w:r>
            <w:r w:rsidR="003E14A1">
              <w:t xml:space="preserve"> </w:t>
            </w:r>
          </w:p>
          <w:p w14:paraId="096D39A4" w14:textId="611F9832" w:rsidR="000627E6" w:rsidRDefault="000627E6" w:rsidP="000627E6"/>
          <w:p w14:paraId="141E96D3" w14:textId="31F189EB" w:rsidR="00B036BE" w:rsidRDefault="00B036BE" w:rsidP="000627E6"/>
          <w:p w14:paraId="1A44D863" w14:textId="77777777" w:rsidR="00B026ED" w:rsidRDefault="00B026ED" w:rsidP="000627E6"/>
          <w:p w14:paraId="25A3E30C" w14:textId="48107198" w:rsidR="00766CB2" w:rsidRDefault="00766CB2" w:rsidP="000627E6"/>
          <w:p w14:paraId="39E2BF11" w14:textId="77777777" w:rsidR="00B026ED" w:rsidRDefault="00B026ED" w:rsidP="000627E6"/>
          <w:p w14:paraId="0CE0D321" w14:textId="526FFAAB" w:rsidR="000627E6" w:rsidRDefault="00C87B26" w:rsidP="000627E6">
            <w:pPr>
              <w:pStyle w:val="ListParagraph"/>
              <w:numPr>
                <w:ilvl w:val="1"/>
                <w:numId w:val="20"/>
              </w:numPr>
              <w:ind w:left="720"/>
            </w:pPr>
            <w:r>
              <w:t>What are the barriers to improvement and how will your COC overcome them?</w:t>
            </w:r>
          </w:p>
          <w:p w14:paraId="2810420D" w14:textId="77777777" w:rsidR="00643ED7" w:rsidRPr="00110156" w:rsidRDefault="00643ED7" w:rsidP="00520C51"/>
        </w:tc>
      </w:tr>
      <w:bookmarkEnd w:id="0"/>
    </w:tbl>
    <w:p w14:paraId="52A1F281" w14:textId="77777777" w:rsidR="00207880" w:rsidRDefault="00207880" w:rsidP="00520C51"/>
    <w:p w14:paraId="3FB37360" w14:textId="77777777" w:rsidR="00D9612F" w:rsidRDefault="00D9612F">
      <w:r>
        <w:br w:type="page"/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583575" w:rsidRPr="00110156" w14:paraId="3D71AC8F" w14:textId="77777777" w:rsidTr="00583575">
        <w:tc>
          <w:tcPr>
            <w:tcW w:w="10350" w:type="dxa"/>
            <w:shd w:val="clear" w:color="auto" w:fill="000000"/>
          </w:tcPr>
          <w:p w14:paraId="29E125BE" w14:textId="0A7CDBE6" w:rsidR="00583575" w:rsidRPr="00110156" w:rsidRDefault="008F692B" w:rsidP="008C7BEE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R</w:t>
            </w:r>
            <w:r w:rsidR="00E236AB">
              <w:t>espond to each of the</w:t>
            </w:r>
            <w:r w:rsidR="00A46601">
              <w:t xml:space="preserve"> following questions</w:t>
            </w:r>
            <w:r w:rsidR="00E236AB">
              <w:t>/statements</w:t>
            </w:r>
            <w:r w:rsidR="00A46601">
              <w:t xml:space="preserve"> to explain </w:t>
            </w:r>
            <w:r w:rsidR="00CC3B0C">
              <w:t>how data was used in the allocat</w:t>
            </w:r>
            <w:r>
              <w:t>ion of</w:t>
            </w:r>
            <w:r w:rsidR="00CC3B0C">
              <w:t xml:space="preserve"> funding</w:t>
            </w:r>
            <w:r w:rsidR="00CC3B0C" w:rsidRPr="00110156">
              <w:t>.</w:t>
            </w:r>
          </w:p>
        </w:tc>
      </w:tr>
      <w:tr w:rsidR="00583575" w:rsidRPr="00110156" w14:paraId="57D7AD0D" w14:textId="77777777" w:rsidTr="00583575">
        <w:trPr>
          <w:trHeight w:val="260"/>
        </w:trPr>
        <w:tc>
          <w:tcPr>
            <w:tcW w:w="10350" w:type="dxa"/>
            <w:shd w:val="clear" w:color="auto" w:fill="auto"/>
          </w:tcPr>
          <w:p w14:paraId="4CF5CF2D" w14:textId="0F5E93CD" w:rsidR="00B35A06" w:rsidRDefault="002030D5" w:rsidP="00CF1C22">
            <w:pPr>
              <w:pStyle w:val="ListParagraph"/>
              <w:numPr>
                <w:ilvl w:val="0"/>
                <w:numId w:val="27"/>
              </w:numPr>
              <w:spacing w:before="120"/>
            </w:pPr>
            <w:r>
              <w:t xml:space="preserve">If </w:t>
            </w:r>
            <w:r w:rsidR="000A3DE1">
              <w:t>data was used</w:t>
            </w:r>
            <w:r>
              <w:t xml:space="preserve"> to divide funding among </w:t>
            </w:r>
            <w:r w:rsidRPr="002030D5">
              <w:rPr>
                <w:u w:val="single"/>
              </w:rPr>
              <w:t>project types</w:t>
            </w:r>
            <w:r w:rsidR="00B35A06">
              <w:t xml:space="preserve">: </w:t>
            </w:r>
          </w:p>
          <w:p w14:paraId="0D19DA67" w14:textId="2ED249C0" w:rsidR="002030D5" w:rsidRDefault="00B35A06" w:rsidP="00B35A06">
            <w:pPr>
              <w:pStyle w:val="ListParagraph"/>
              <w:numPr>
                <w:ilvl w:val="1"/>
                <w:numId w:val="27"/>
              </w:numPr>
            </w:pPr>
            <w:r>
              <w:t xml:space="preserve">List </w:t>
            </w:r>
            <w:r w:rsidR="005600AF">
              <w:t>the amount and percentage of</w:t>
            </w:r>
            <w:r>
              <w:t xml:space="preserve"> funding allocated to each project type</w:t>
            </w:r>
            <w:r w:rsidR="005600AF">
              <w:t>.</w:t>
            </w:r>
          </w:p>
          <w:tbl>
            <w:tblPr>
              <w:tblStyle w:val="TableGrid"/>
              <w:tblW w:w="0" w:type="auto"/>
              <w:tblInd w:w="1327" w:type="dxa"/>
              <w:tblLook w:val="04A0" w:firstRow="1" w:lastRow="0" w:firstColumn="1" w:lastColumn="0" w:noHBand="0" w:noVBand="1"/>
            </w:tblPr>
            <w:tblGrid>
              <w:gridCol w:w="2785"/>
              <w:gridCol w:w="1913"/>
              <w:gridCol w:w="1620"/>
            </w:tblGrid>
            <w:tr w:rsidR="005600AF" w14:paraId="2A0F95E0" w14:textId="14F63CAA" w:rsidTr="00FF7340">
              <w:tc>
                <w:tcPr>
                  <w:tcW w:w="2785" w:type="dxa"/>
                  <w:shd w:val="clear" w:color="auto" w:fill="D9D9D9" w:themeFill="background1" w:themeFillShade="D9"/>
                </w:tcPr>
                <w:p w14:paraId="7208D4E2" w14:textId="54AFE40C" w:rsidR="005600AF" w:rsidRDefault="005600AF" w:rsidP="00091E6A">
                  <w:pPr>
                    <w:framePr w:hSpace="180" w:wrap="around" w:vAnchor="text" w:hAnchor="margin" w:y="181"/>
                  </w:pPr>
                  <w:r>
                    <w:t>Project Type</w:t>
                  </w:r>
                </w:p>
              </w:tc>
              <w:tc>
                <w:tcPr>
                  <w:tcW w:w="1913" w:type="dxa"/>
                  <w:shd w:val="clear" w:color="auto" w:fill="D9D9D9" w:themeFill="background1" w:themeFillShade="D9"/>
                </w:tcPr>
                <w:p w14:paraId="57DBE5E6" w14:textId="4A1E1774" w:rsidR="005600AF" w:rsidRDefault="005600AF" w:rsidP="00091E6A">
                  <w:pPr>
                    <w:framePr w:hSpace="180" w:wrap="around" w:vAnchor="text" w:hAnchor="margin" w:y="181"/>
                  </w:pPr>
                  <w:r>
                    <w:t>Funding Amount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4581FD21" w14:textId="2550D4EB" w:rsidR="005600AF" w:rsidRDefault="005600AF" w:rsidP="00091E6A">
                  <w:pPr>
                    <w:framePr w:hSpace="180" w:wrap="around" w:vAnchor="text" w:hAnchor="margin" w:y="181"/>
                  </w:pPr>
                  <w:r>
                    <w:t>% of Funding</w:t>
                  </w:r>
                </w:p>
              </w:tc>
            </w:tr>
            <w:tr w:rsidR="005600AF" w14:paraId="464C3432" w14:textId="26D8BDBF" w:rsidTr="00FF7340">
              <w:tc>
                <w:tcPr>
                  <w:tcW w:w="2785" w:type="dxa"/>
                </w:tcPr>
                <w:p w14:paraId="32CC785C" w14:textId="15B68189" w:rsidR="005600AF" w:rsidRDefault="005600AF" w:rsidP="00091E6A">
                  <w:pPr>
                    <w:framePr w:hSpace="180" w:wrap="around" w:vAnchor="text" w:hAnchor="margin" w:y="181"/>
                  </w:pPr>
                  <w:r>
                    <w:t>Rapid Re-housing</w:t>
                  </w:r>
                </w:p>
              </w:tc>
              <w:tc>
                <w:tcPr>
                  <w:tcW w:w="1913" w:type="dxa"/>
                  <w:vAlign w:val="center"/>
                </w:tcPr>
                <w:p w14:paraId="693235F0" w14:textId="4C3B3018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63F40B4C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3372EA46" w14:textId="24624451" w:rsidTr="00FF7340">
              <w:tc>
                <w:tcPr>
                  <w:tcW w:w="2785" w:type="dxa"/>
                </w:tcPr>
                <w:p w14:paraId="747B2D3D" w14:textId="0D411B07" w:rsidR="005600AF" w:rsidRDefault="005600AF" w:rsidP="00091E6A">
                  <w:pPr>
                    <w:framePr w:hSpace="180" w:wrap="around" w:vAnchor="text" w:hAnchor="margin" w:y="181"/>
                  </w:pPr>
                  <w:r>
                    <w:t>Homelessness Prevention</w:t>
                  </w:r>
                </w:p>
              </w:tc>
              <w:tc>
                <w:tcPr>
                  <w:tcW w:w="1913" w:type="dxa"/>
                  <w:vAlign w:val="center"/>
                </w:tcPr>
                <w:p w14:paraId="34837D83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68E3ABDE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09CC1191" w14:textId="014558B1" w:rsidTr="00FF7340">
              <w:tc>
                <w:tcPr>
                  <w:tcW w:w="2785" w:type="dxa"/>
                </w:tcPr>
                <w:p w14:paraId="5A92578B" w14:textId="5DDCF414" w:rsidR="005600AF" w:rsidRDefault="005600AF" w:rsidP="00091E6A">
                  <w:pPr>
                    <w:framePr w:hSpace="180" w:wrap="around" w:vAnchor="text" w:hAnchor="margin" w:y="181"/>
                  </w:pPr>
                  <w:r>
                    <w:t>Emergency Shelter</w:t>
                  </w:r>
                </w:p>
              </w:tc>
              <w:tc>
                <w:tcPr>
                  <w:tcW w:w="1913" w:type="dxa"/>
                  <w:vAlign w:val="center"/>
                </w:tcPr>
                <w:p w14:paraId="3B3560B7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5C682723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611D4309" w14:textId="22B24355" w:rsidTr="00FF7340">
              <w:tc>
                <w:tcPr>
                  <w:tcW w:w="2785" w:type="dxa"/>
                </w:tcPr>
                <w:p w14:paraId="74CAAD48" w14:textId="1AE4FD7A" w:rsidR="005600AF" w:rsidRDefault="005600AF" w:rsidP="00091E6A">
                  <w:pPr>
                    <w:framePr w:hSpace="180" w:wrap="around" w:vAnchor="text" w:hAnchor="margin" w:y="181"/>
                  </w:pPr>
                  <w:r>
                    <w:t>Street Outreach</w:t>
                  </w:r>
                </w:p>
              </w:tc>
              <w:tc>
                <w:tcPr>
                  <w:tcW w:w="1913" w:type="dxa"/>
                  <w:vAlign w:val="center"/>
                </w:tcPr>
                <w:p w14:paraId="1E66998C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2BCDDC1D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130B7B79" w14:textId="1381FBE9" w:rsidTr="00FF7340">
              <w:tc>
                <w:tcPr>
                  <w:tcW w:w="2785" w:type="dxa"/>
                </w:tcPr>
                <w:p w14:paraId="3AA18C6F" w14:textId="0330FCF4" w:rsidR="005600AF" w:rsidRDefault="005600AF" w:rsidP="00091E6A">
                  <w:pPr>
                    <w:framePr w:hSpace="180" w:wrap="around" w:vAnchor="text" w:hAnchor="margin" w:y="181"/>
                  </w:pPr>
                  <w:r>
                    <w:t>HMIS</w:t>
                  </w:r>
                </w:p>
              </w:tc>
              <w:tc>
                <w:tcPr>
                  <w:tcW w:w="1913" w:type="dxa"/>
                  <w:vAlign w:val="center"/>
                </w:tcPr>
                <w:p w14:paraId="629541D5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7CA9D609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574E10EA" w14:textId="77777777" w:rsidTr="00FF7340">
              <w:tc>
                <w:tcPr>
                  <w:tcW w:w="2785" w:type="dxa"/>
                </w:tcPr>
                <w:p w14:paraId="1D171E50" w14:textId="6695D31A" w:rsidR="005600AF" w:rsidRDefault="005600AF" w:rsidP="00091E6A">
                  <w:pPr>
                    <w:framePr w:hSpace="180" w:wrap="around" w:vAnchor="text" w:hAnchor="margin" w:y="181"/>
                  </w:pPr>
                  <w:r>
                    <w:t>Administration</w:t>
                  </w:r>
                </w:p>
              </w:tc>
              <w:tc>
                <w:tcPr>
                  <w:tcW w:w="1913" w:type="dxa"/>
                  <w:vAlign w:val="center"/>
                </w:tcPr>
                <w:p w14:paraId="1AF29C3C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686073F9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34EBF448" w14:textId="77777777" w:rsidTr="00FF7340">
              <w:tc>
                <w:tcPr>
                  <w:tcW w:w="2785" w:type="dxa"/>
                  <w:shd w:val="clear" w:color="auto" w:fill="D9D9D9" w:themeFill="background1" w:themeFillShade="D9"/>
                  <w:vAlign w:val="center"/>
                </w:tcPr>
                <w:p w14:paraId="5D0C5F32" w14:textId="25C6506C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  <w:r>
                    <w:t>TOTAL</w:t>
                  </w:r>
                </w:p>
              </w:tc>
              <w:tc>
                <w:tcPr>
                  <w:tcW w:w="1913" w:type="dxa"/>
                  <w:shd w:val="clear" w:color="auto" w:fill="D9D9D9" w:themeFill="background1" w:themeFillShade="D9"/>
                  <w:vAlign w:val="center"/>
                </w:tcPr>
                <w:p w14:paraId="3EACF082" w14:textId="77777777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0B9381EC" w14:textId="2D77E4B8" w:rsidR="005600AF" w:rsidRDefault="005600AF" w:rsidP="00091E6A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</w:tbl>
          <w:p w14:paraId="63FDDEB1" w14:textId="77777777" w:rsidR="005600AF" w:rsidRDefault="005600AF" w:rsidP="00B35A06"/>
          <w:p w14:paraId="147F4CB4" w14:textId="6C46722F" w:rsidR="00B35A06" w:rsidRPr="007A7A79" w:rsidRDefault="00FF7340" w:rsidP="00B35A06">
            <w:pPr>
              <w:pStyle w:val="ListParagraph"/>
              <w:numPr>
                <w:ilvl w:val="1"/>
                <w:numId w:val="27"/>
              </w:numPr>
            </w:pPr>
            <w:r>
              <w:t>Using data, e</w:t>
            </w:r>
            <w:r w:rsidR="00B35A06">
              <w:t xml:space="preserve">xplain </w:t>
            </w:r>
            <w:r w:rsidR="00F36128">
              <w:t xml:space="preserve">why each </w:t>
            </w:r>
            <w:r w:rsidR="00B35A06">
              <w:t>project type was allocated the funding above.</w:t>
            </w:r>
            <w:r w:rsidR="003E14A1">
              <w:t xml:space="preserve"> </w:t>
            </w:r>
            <w:r w:rsidR="00B35A06">
              <w:rPr>
                <w:i/>
              </w:rPr>
              <w:t xml:space="preserve">E.g. what data elements, analyses of gaps/needs, and/or </w:t>
            </w:r>
            <w:r w:rsidR="00B35A06" w:rsidRPr="00B35A06">
              <w:rPr>
                <w:i/>
              </w:rPr>
              <w:t>COC goals were considered.</w:t>
            </w:r>
          </w:p>
          <w:p w14:paraId="72AE48CA" w14:textId="77777777" w:rsidR="007A7A79" w:rsidRDefault="007A7A79" w:rsidP="007A7A79"/>
          <w:p w14:paraId="3032A79B" w14:textId="77777777" w:rsidR="007A7A79" w:rsidRPr="00F36128" w:rsidRDefault="007A7A79" w:rsidP="007A7A79"/>
          <w:p w14:paraId="2254B077" w14:textId="1CA6B14B" w:rsidR="002030D5" w:rsidRDefault="000A3DE1" w:rsidP="00A46601">
            <w:pPr>
              <w:pStyle w:val="ListParagraph"/>
              <w:numPr>
                <w:ilvl w:val="0"/>
                <w:numId w:val="27"/>
              </w:numPr>
            </w:pPr>
            <w:r>
              <w:t xml:space="preserve">If data was used </w:t>
            </w:r>
            <w:r w:rsidR="00F36128">
              <w:t xml:space="preserve">to divide funding among </w:t>
            </w:r>
            <w:r w:rsidR="00F36128" w:rsidRPr="00F36128">
              <w:rPr>
                <w:u w:val="single"/>
              </w:rPr>
              <w:t>applicants of the same project type:</w:t>
            </w:r>
          </w:p>
          <w:p w14:paraId="26027FD4" w14:textId="77777777" w:rsidR="00F36128" w:rsidRDefault="00F36128" w:rsidP="00F36128">
            <w:pPr>
              <w:pStyle w:val="ListParagraph"/>
              <w:numPr>
                <w:ilvl w:val="1"/>
                <w:numId w:val="27"/>
              </w:numPr>
            </w:pPr>
            <w:r>
              <w:t>List how much funding was allocated to each applicant.</w:t>
            </w:r>
          </w:p>
          <w:p w14:paraId="48EE9D24" w14:textId="77777777" w:rsidR="00F36128" w:rsidRDefault="00F36128" w:rsidP="00F36128">
            <w:pPr>
              <w:pStyle w:val="ListParagraph"/>
              <w:ind w:left="1440"/>
            </w:pPr>
          </w:p>
          <w:p w14:paraId="050F3F9B" w14:textId="77777777" w:rsidR="00F36128" w:rsidRDefault="00F36128" w:rsidP="00F36128">
            <w:pPr>
              <w:pStyle w:val="ListParagraph"/>
              <w:ind w:left="1440"/>
            </w:pPr>
          </w:p>
          <w:p w14:paraId="02E03099" w14:textId="65EA3324" w:rsidR="00A46601" w:rsidRDefault="00332165" w:rsidP="00CF1C22">
            <w:pPr>
              <w:pStyle w:val="ListParagraph"/>
              <w:numPr>
                <w:ilvl w:val="1"/>
                <w:numId w:val="27"/>
              </w:numPr>
            </w:pPr>
            <w:r>
              <w:t>L</w:t>
            </w:r>
            <w:r w:rsidR="00A46601">
              <w:t>ist data element</w:t>
            </w:r>
            <w:r w:rsidR="00B026ED">
              <w:t>s</w:t>
            </w:r>
            <w:r w:rsidR="00A46601">
              <w:t xml:space="preserve"> used </w:t>
            </w:r>
            <w:r w:rsidR="00F36128">
              <w:t xml:space="preserve">to divide funding among applicants </w:t>
            </w:r>
            <w:r w:rsidR="00A46601">
              <w:t>and explain why it was used.</w:t>
            </w:r>
            <w:r w:rsidR="003E14A1">
              <w:t xml:space="preserve"> </w:t>
            </w:r>
          </w:p>
          <w:p w14:paraId="20AFECFC" w14:textId="77777777" w:rsidR="00F36128" w:rsidRDefault="00F36128" w:rsidP="00F36128">
            <w:pPr>
              <w:pStyle w:val="ListParagraph"/>
            </w:pPr>
          </w:p>
          <w:p w14:paraId="6DB51AF2" w14:textId="18233858" w:rsidR="00B026ED" w:rsidRPr="00110156" w:rsidRDefault="00B026ED" w:rsidP="00B026ED"/>
        </w:tc>
      </w:tr>
    </w:tbl>
    <w:p w14:paraId="6A35FBD3" w14:textId="77777777" w:rsidR="007A7A79" w:rsidRPr="00110156" w:rsidRDefault="007A7A79" w:rsidP="00520C51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207880" w:rsidRPr="00110156" w14:paraId="1A40C1FF" w14:textId="77777777" w:rsidTr="00505C89">
        <w:tc>
          <w:tcPr>
            <w:tcW w:w="10350" w:type="dxa"/>
            <w:shd w:val="clear" w:color="auto" w:fill="000000"/>
          </w:tcPr>
          <w:p w14:paraId="340AB7FA" w14:textId="499F93EA" w:rsidR="00207880" w:rsidRPr="00110156" w:rsidRDefault="003B189D" w:rsidP="007A7A79">
            <w:pPr>
              <w:pStyle w:val="ListParagraph"/>
              <w:numPr>
                <w:ilvl w:val="0"/>
                <w:numId w:val="20"/>
              </w:numPr>
            </w:pPr>
            <w:r>
              <w:t xml:space="preserve">Describe how the entire </w:t>
            </w:r>
            <w:r w:rsidR="00BB576A">
              <w:t>COC</w:t>
            </w:r>
            <w:r w:rsidR="00207880">
              <w:t xml:space="preserve"> was involved in the </w:t>
            </w:r>
            <w:r w:rsidR="00E6102A">
              <w:t>EHH</w:t>
            </w:r>
            <w:r w:rsidR="00207880">
              <w:t xml:space="preserve"> Allocation Process, including </w:t>
            </w:r>
            <w:r w:rsidR="00BF2468">
              <w:t>non-</w:t>
            </w:r>
            <w:r w:rsidR="00E6102A">
              <w:t>EHH</w:t>
            </w:r>
            <w:r w:rsidR="00207880">
              <w:t xml:space="preserve"> funded agencies.</w:t>
            </w:r>
            <w:r w:rsidR="003E14A1">
              <w:t xml:space="preserve"> </w:t>
            </w:r>
          </w:p>
        </w:tc>
      </w:tr>
      <w:tr w:rsidR="00207880" w:rsidRPr="00110156" w14:paraId="1763D3BF" w14:textId="77777777" w:rsidTr="00B026ED">
        <w:trPr>
          <w:trHeight w:val="1152"/>
        </w:trPr>
        <w:tc>
          <w:tcPr>
            <w:tcW w:w="10350" w:type="dxa"/>
            <w:shd w:val="clear" w:color="auto" w:fill="auto"/>
          </w:tcPr>
          <w:p w14:paraId="77ABDDAB" w14:textId="38EEE450" w:rsidR="004849E6" w:rsidRPr="00110156" w:rsidRDefault="004849E6" w:rsidP="00B026ED">
            <w:pPr>
              <w:spacing w:before="120"/>
            </w:pPr>
          </w:p>
        </w:tc>
      </w:tr>
    </w:tbl>
    <w:p w14:paraId="318DA8F1" w14:textId="063E9127" w:rsidR="009C46C1" w:rsidRPr="009C46C1" w:rsidRDefault="00C351A8" w:rsidP="00D9612F">
      <w:pPr>
        <w:pStyle w:val="Heading1"/>
        <w:spacing w:before="240" w:after="120"/>
        <w:rPr>
          <w:sz w:val="32"/>
        </w:rPr>
      </w:pPr>
      <w:r w:rsidRPr="00CF1C22">
        <w:rPr>
          <w:sz w:val="32"/>
        </w:rPr>
        <w:t>Part</w:t>
      </w:r>
      <w:r w:rsidR="00583575" w:rsidRPr="00CF1C22">
        <w:rPr>
          <w:sz w:val="32"/>
        </w:rPr>
        <w:t xml:space="preserve"> </w:t>
      </w:r>
      <w:r w:rsidR="009030AF">
        <w:rPr>
          <w:sz w:val="32"/>
        </w:rPr>
        <w:t>2</w:t>
      </w:r>
      <w:r w:rsidR="00583575" w:rsidRPr="00CF1C22">
        <w:rPr>
          <w:sz w:val="32"/>
        </w:rPr>
        <w:t xml:space="preserve">: </w:t>
      </w:r>
      <w:r w:rsidR="009D7EC5" w:rsidRPr="00CF1C22">
        <w:rPr>
          <w:sz w:val="32"/>
        </w:rPr>
        <w:t>ESG Special Allocation</w:t>
      </w:r>
    </w:p>
    <w:p w14:paraId="22A56F7E" w14:textId="36277FA7" w:rsidR="008D4678" w:rsidRDefault="009C46C1" w:rsidP="009C46C1">
      <w:r>
        <w:t>DEHCR</w:t>
      </w:r>
      <w:r w:rsidRPr="005114FC">
        <w:t xml:space="preserve"> </w:t>
      </w:r>
      <w:r w:rsidR="001422B7">
        <w:t>may</w:t>
      </w:r>
      <w:r w:rsidRPr="005114FC">
        <w:t xml:space="preserve"> make a Special </w:t>
      </w:r>
      <w:r>
        <w:t xml:space="preserve">Allocation of an estimated </w:t>
      </w:r>
      <w:r w:rsidRPr="004D2E11">
        <w:t>$1</w:t>
      </w:r>
      <w:r>
        <w:t>2</w:t>
      </w:r>
      <w:r w:rsidRPr="004D2E11">
        <w:t xml:space="preserve">0,000 in </w:t>
      </w:r>
      <w:r>
        <w:t>ESG</w:t>
      </w:r>
      <w:r w:rsidRPr="004D2E11">
        <w:t xml:space="preserve"> funds</w:t>
      </w:r>
      <w:r w:rsidRPr="005114FC">
        <w:t xml:space="preserve"> available to </w:t>
      </w:r>
      <w:r>
        <w:t>EHH</w:t>
      </w:r>
      <w:r w:rsidRPr="005114FC">
        <w:t xml:space="preserve"> applicants.</w:t>
      </w:r>
      <w:r>
        <w:t xml:space="preserve"> These funds will be awarded through a competitive process. Interested COCs must fill out this section; their applications will be scored based on their responses to the questions in Part 1</w:t>
      </w:r>
      <w:r w:rsidR="00D9612F">
        <w:t xml:space="preserve"> and </w:t>
      </w:r>
      <w:r w:rsidR="00E01A2C">
        <w:t>2</w:t>
      </w:r>
      <w:bookmarkStart w:id="1" w:name="_GoBack"/>
      <w:bookmarkEnd w:id="1"/>
      <w:r>
        <w:t xml:space="preserve">. </w:t>
      </w:r>
      <w:r w:rsidR="001422B7">
        <w:t>New projects will be given preference in the competitive process.</w:t>
      </w:r>
    </w:p>
    <w:p w14:paraId="5002D436" w14:textId="77777777" w:rsidR="008D4678" w:rsidRDefault="008D4678" w:rsidP="009C46C1"/>
    <w:p w14:paraId="43F41ACE" w14:textId="3FB2F8E2" w:rsidR="009C46C1" w:rsidRDefault="009C46C1" w:rsidP="009C46C1">
      <w:r>
        <w:t>50 points are available with the following breakdown:</w:t>
      </w:r>
    </w:p>
    <w:p w14:paraId="4593F470" w14:textId="77777777" w:rsidR="00E43748" w:rsidRDefault="00E43748" w:rsidP="009C46C1">
      <w:pPr>
        <w:pStyle w:val="ListParagraph"/>
        <w:numPr>
          <w:ilvl w:val="0"/>
          <w:numId w:val="24"/>
        </w:numPr>
        <w:sectPr w:rsidR="00E43748" w:rsidSect="000204A2">
          <w:footerReference w:type="default" r:id="rId8"/>
          <w:pgSz w:w="12240" w:h="15840"/>
          <w:pgMar w:top="1008" w:right="1008" w:bottom="1008" w:left="1008" w:header="720" w:footer="576" w:gutter="0"/>
          <w:cols w:space="720"/>
          <w:docGrid w:linePitch="299"/>
        </w:sectPr>
      </w:pPr>
    </w:p>
    <w:p w14:paraId="06B5218A" w14:textId="70BAB3E3" w:rsidR="009C46C1" w:rsidRDefault="00D9612F" w:rsidP="009C46C1">
      <w:pPr>
        <w:pStyle w:val="ListParagraph"/>
        <w:numPr>
          <w:ilvl w:val="0"/>
          <w:numId w:val="24"/>
        </w:numPr>
      </w:pPr>
      <w:r>
        <w:t xml:space="preserve">Part 1 </w:t>
      </w:r>
      <w:r w:rsidR="009C46C1">
        <w:t>Question A: 1</w:t>
      </w:r>
      <w:r>
        <w:t>0</w:t>
      </w:r>
      <w:r w:rsidR="009C46C1">
        <w:t xml:space="preserve"> </w:t>
      </w:r>
      <w:r>
        <w:t>p</w:t>
      </w:r>
      <w:r w:rsidR="009C46C1">
        <w:t xml:space="preserve">oints </w:t>
      </w:r>
    </w:p>
    <w:p w14:paraId="6DD4504B" w14:textId="7A95C70F" w:rsidR="009C46C1" w:rsidRDefault="00D9612F" w:rsidP="009C46C1">
      <w:pPr>
        <w:pStyle w:val="ListParagraph"/>
        <w:numPr>
          <w:ilvl w:val="0"/>
          <w:numId w:val="24"/>
        </w:numPr>
      </w:pPr>
      <w:r>
        <w:t xml:space="preserve">Part 1 </w:t>
      </w:r>
      <w:r w:rsidR="009C46C1">
        <w:t xml:space="preserve">Question B: </w:t>
      </w:r>
      <w:r>
        <w:t>20</w:t>
      </w:r>
      <w:r w:rsidR="009C46C1">
        <w:t xml:space="preserve"> </w:t>
      </w:r>
      <w:r>
        <w:t>p</w:t>
      </w:r>
      <w:r w:rsidR="009C46C1">
        <w:t>oints</w:t>
      </w:r>
    </w:p>
    <w:p w14:paraId="0519510D" w14:textId="46EA0A9D" w:rsidR="009C46C1" w:rsidRDefault="00D9612F" w:rsidP="009C46C1">
      <w:pPr>
        <w:pStyle w:val="ListParagraph"/>
        <w:numPr>
          <w:ilvl w:val="0"/>
          <w:numId w:val="24"/>
        </w:numPr>
      </w:pPr>
      <w:r>
        <w:t xml:space="preserve">Part 1 </w:t>
      </w:r>
      <w:r w:rsidR="009C46C1">
        <w:t xml:space="preserve">Question C: 5 </w:t>
      </w:r>
      <w:r>
        <w:t>p</w:t>
      </w:r>
      <w:r w:rsidR="009C46C1">
        <w:t>oints</w:t>
      </w:r>
    </w:p>
    <w:p w14:paraId="4B5B6F15" w14:textId="7180B4D0" w:rsidR="00D9612F" w:rsidRDefault="00D9612F" w:rsidP="009C46C1">
      <w:pPr>
        <w:pStyle w:val="ListParagraph"/>
        <w:numPr>
          <w:ilvl w:val="0"/>
          <w:numId w:val="24"/>
        </w:numPr>
      </w:pPr>
      <w:r>
        <w:t xml:space="preserve">Part </w:t>
      </w:r>
      <w:r w:rsidR="00B759A3">
        <w:t>2</w:t>
      </w:r>
      <w:r>
        <w:t xml:space="preserve"> Question D: 10 points</w:t>
      </w:r>
    </w:p>
    <w:p w14:paraId="04D4AFFE" w14:textId="75CE77DD" w:rsidR="00D9612F" w:rsidRDefault="00D9612F" w:rsidP="009C46C1">
      <w:pPr>
        <w:pStyle w:val="ListParagraph"/>
        <w:numPr>
          <w:ilvl w:val="0"/>
          <w:numId w:val="24"/>
        </w:numPr>
      </w:pPr>
      <w:r>
        <w:t xml:space="preserve">Part </w:t>
      </w:r>
      <w:r w:rsidR="00B759A3">
        <w:t>2</w:t>
      </w:r>
      <w:r>
        <w:t xml:space="preserve"> Question E: 5 points</w:t>
      </w:r>
    </w:p>
    <w:p w14:paraId="46029AE7" w14:textId="77777777" w:rsidR="00E43748" w:rsidRDefault="00E43748" w:rsidP="009C46C1">
      <w:pPr>
        <w:sectPr w:rsidR="00E43748" w:rsidSect="00E43748">
          <w:type w:val="continuous"/>
          <w:pgSz w:w="12240" w:h="15840"/>
          <w:pgMar w:top="1008" w:right="1008" w:bottom="1008" w:left="1008" w:header="720" w:footer="720" w:gutter="0"/>
          <w:cols w:num="2" w:space="720"/>
        </w:sectPr>
      </w:pPr>
    </w:p>
    <w:p w14:paraId="37470051" w14:textId="581558F5" w:rsidR="009C46C1" w:rsidRDefault="009C46C1" w:rsidP="009C46C1"/>
    <w:p w14:paraId="39E3FDCA" w14:textId="2EAB0CE9" w:rsidR="009C46C1" w:rsidRPr="00643ED7" w:rsidRDefault="009C46C1" w:rsidP="009C46C1">
      <w:r w:rsidRPr="0092678B">
        <w:t xml:space="preserve">The highest scoring applicants </w:t>
      </w:r>
      <w:r w:rsidR="00B759A3">
        <w:t>may</w:t>
      </w:r>
      <w:r w:rsidRPr="0092678B">
        <w:t xml:space="preserve"> be awarded </w:t>
      </w:r>
      <w:r>
        <w:t xml:space="preserve">up to </w:t>
      </w:r>
      <w:r w:rsidRPr="0092678B">
        <w:t>$40,000</w:t>
      </w:r>
      <w:r>
        <w:t xml:space="preserve"> from the Special Competitive Allocation.</w:t>
      </w:r>
    </w:p>
    <w:p w14:paraId="0FCDB2AA" w14:textId="77777777" w:rsidR="009C46C1" w:rsidRDefault="009C46C1" w:rsidP="00583575"/>
    <w:p w14:paraId="07C7753F" w14:textId="62566686" w:rsidR="00643ED7" w:rsidRPr="002C2B64" w:rsidRDefault="00583575" w:rsidP="009C46C1">
      <w:pPr>
        <w:rPr>
          <w:b/>
        </w:rPr>
      </w:pPr>
      <w:r w:rsidRPr="002C2B64">
        <w:rPr>
          <w:b/>
        </w:rPr>
        <w:lastRenderedPageBreak/>
        <w:t xml:space="preserve">Is your COC interested in </w:t>
      </w:r>
      <w:r w:rsidR="009C46C1" w:rsidRPr="002C2B64">
        <w:rPr>
          <w:b/>
        </w:rPr>
        <w:t>applying</w:t>
      </w:r>
      <w:r w:rsidR="00643ED7" w:rsidRPr="002C2B64">
        <w:rPr>
          <w:b/>
        </w:rPr>
        <w:t xml:space="preserve"> for the </w:t>
      </w:r>
      <w:r w:rsidR="009D7EC5" w:rsidRPr="002C2B64">
        <w:rPr>
          <w:b/>
        </w:rPr>
        <w:t>ESG Special Allocation</w:t>
      </w:r>
      <w:r w:rsidR="00643ED7" w:rsidRPr="002C2B64">
        <w:rPr>
          <w:b/>
        </w:rPr>
        <w:t>?</w:t>
      </w:r>
      <w:r w:rsidR="009C46C1" w:rsidRPr="002C2B64">
        <w:rPr>
          <w:b/>
        </w:rPr>
        <w:t xml:space="preserve">   </w:t>
      </w:r>
      <w:sdt>
        <w:sdtPr>
          <w:rPr>
            <w:b/>
          </w:rPr>
          <w:id w:val="-192385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48">
            <w:rPr>
              <w:rFonts w:ascii="MS Gothic" w:eastAsia="MS Gothic" w:hAnsi="MS Gothic" w:hint="eastAsia"/>
              <w:b/>
            </w:rPr>
            <w:t>☐</w:t>
          </w:r>
        </w:sdtContent>
      </w:sdt>
      <w:r w:rsidR="009C46C1" w:rsidRPr="002C2B64">
        <w:rPr>
          <w:b/>
        </w:rPr>
        <w:t xml:space="preserve"> </w:t>
      </w:r>
      <w:r w:rsidR="00643ED7" w:rsidRPr="002C2B64">
        <w:rPr>
          <w:b/>
        </w:rPr>
        <w:t>YES</w:t>
      </w:r>
      <w:r w:rsidR="003E14A1" w:rsidRPr="002C2B64">
        <w:rPr>
          <w:b/>
        </w:rPr>
        <w:t xml:space="preserve"> </w:t>
      </w:r>
      <w:r w:rsidR="002C2B64">
        <w:rPr>
          <w:b/>
        </w:rPr>
        <w:t xml:space="preserve">  </w:t>
      </w:r>
      <w:r w:rsidR="00643ED7" w:rsidRPr="002C2B64">
        <w:rPr>
          <w:b/>
        </w:rPr>
        <w:t xml:space="preserve"> </w:t>
      </w:r>
      <w:sdt>
        <w:sdtPr>
          <w:rPr>
            <w:b/>
          </w:rPr>
          <w:id w:val="-71489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C1" w:rsidRPr="002C2B64">
            <w:rPr>
              <w:rFonts w:ascii="MS Gothic" w:eastAsia="MS Gothic" w:hAnsi="MS Gothic" w:hint="eastAsia"/>
              <w:b/>
            </w:rPr>
            <w:t>☐</w:t>
          </w:r>
        </w:sdtContent>
      </w:sdt>
      <w:r w:rsidR="009C46C1" w:rsidRPr="002C2B64">
        <w:rPr>
          <w:b/>
        </w:rPr>
        <w:t xml:space="preserve"> </w:t>
      </w:r>
      <w:r w:rsidR="00643ED7" w:rsidRPr="002C2B64">
        <w:rPr>
          <w:b/>
        </w:rPr>
        <w:t>NO</w:t>
      </w:r>
    </w:p>
    <w:p w14:paraId="09E9B986" w14:textId="77777777" w:rsidR="00643ED7" w:rsidRDefault="00643ED7" w:rsidP="00583575"/>
    <w:p w14:paraId="667EEFAB" w14:textId="07AFD28D" w:rsidR="008E1B92" w:rsidRDefault="008079A8" w:rsidP="00583575">
      <w:r>
        <w:t xml:space="preserve">If </w:t>
      </w:r>
      <w:r w:rsidR="00BB576A">
        <w:t>y</w:t>
      </w:r>
      <w:r>
        <w:t xml:space="preserve">es, </w:t>
      </w:r>
      <w:r w:rsidR="00233499">
        <w:t>use the table and question</w:t>
      </w:r>
      <w:r w:rsidR="007402EF">
        <w:t>s</w:t>
      </w:r>
      <w:r w:rsidR="00233499">
        <w:t xml:space="preserve"> below to</w:t>
      </w:r>
      <w:r w:rsidR="00BB576A">
        <w:t xml:space="preserve"> </w:t>
      </w:r>
      <w:r w:rsidR="002F29F0">
        <w:t>explain how</w:t>
      </w:r>
      <w:r w:rsidR="00233499">
        <w:t xml:space="preserve"> your COC would use</w:t>
      </w:r>
      <w:r w:rsidR="002F29F0">
        <w:t xml:space="preserve"> the </w:t>
      </w:r>
      <w:r w:rsidR="002F29F0" w:rsidRPr="009D7EC5">
        <w:t>$40,000</w:t>
      </w:r>
      <w:r w:rsidR="006A1EBE">
        <w:t xml:space="preserve"> (max)</w:t>
      </w:r>
      <w:r w:rsidR="002F29F0">
        <w:t xml:space="preserve"> Special </w:t>
      </w:r>
      <w:r w:rsidR="007A7A79">
        <w:t>Allocation.</w:t>
      </w:r>
      <w:r w:rsidR="003E14A1">
        <w:t xml:space="preserve"> </w:t>
      </w:r>
      <w:r w:rsidR="007A7A79">
        <w:t xml:space="preserve">A maximum </w:t>
      </w:r>
      <w:r w:rsidR="007A7A79" w:rsidRPr="009D7EC5">
        <w:t>of $2</w:t>
      </w:r>
      <w:r w:rsidR="008E1B92" w:rsidRPr="009D7EC5">
        <w:t>,000</w:t>
      </w:r>
      <w:r w:rsidR="008E1B92">
        <w:t xml:space="preserve"> </w:t>
      </w:r>
      <w:r w:rsidR="006A1EBE">
        <w:t xml:space="preserve">(or 5%) </w:t>
      </w:r>
      <w:r w:rsidR="008E1B92">
        <w:t xml:space="preserve">may be requested for </w:t>
      </w:r>
      <w:r w:rsidR="006A1EBE">
        <w:t>a</w:t>
      </w:r>
      <w:r w:rsidR="008E1B92">
        <w:t>dministration. All activities</w:t>
      </w:r>
      <w:r w:rsidR="00ED0326">
        <w:t xml:space="preserve"> must be </w:t>
      </w:r>
      <w:r w:rsidR="006A1EBE">
        <w:t xml:space="preserve">ESG </w:t>
      </w:r>
      <w:r w:rsidR="00ED0326">
        <w:t>eligible</w:t>
      </w:r>
      <w:r w:rsidR="008E1B92">
        <w:t>.</w:t>
      </w:r>
      <w:r w:rsidR="003E14A1">
        <w:t xml:space="preserve"> </w:t>
      </w:r>
    </w:p>
    <w:p w14:paraId="14B18C48" w14:textId="77777777" w:rsidR="00E43748" w:rsidRDefault="00E43748" w:rsidP="00583575"/>
    <w:p w14:paraId="6E4CEEFA" w14:textId="31642272" w:rsidR="008D4678" w:rsidRPr="006973D2" w:rsidRDefault="008D4678" w:rsidP="006973D2">
      <w:pPr>
        <w:rPr>
          <w:b/>
        </w:rPr>
      </w:pPr>
      <w:r w:rsidRPr="006973D2">
        <w:rPr>
          <w:b/>
        </w:rPr>
        <w:t xml:space="preserve">Project </w:t>
      </w:r>
      <w:r w:rsidR="00005BA1">
        <w:rPr>
          <w:b/>
        </w:rPr>
        <w:t>T</w:t>
      </w:r>
      <w:r w:rsidRPr="006973D2">
        <w:rPr>
          <w:b/>
        </w:rPr>
        <w:t>ype / Activity options:</w:t>
      </w:r>
    </w:p>
    <w:p w14:paraId="332EB03C" w14:textId="77777777" w:rsidR="006973D2" w:rsidRDefault="006973D2" w:rsidP="008D4678">
      <w:pPr>
        <w:pStyle w:val="ListParagraph"/>
        <w:numPr>
          <w:ilvl w:val="0"/>
          <w:numId w:val="27"/>
        </w:numPr>
        <w:sectPr w:rsidR="006973D2" w:rsidSect="00E43748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420"/>
        <w:gridCol w:w="2250"/>
      </w:tblGrid>
      <w:tr w:rsidR="001422B7" w14:paraId="056F60CF" w14:textId="402BCC92" w:rsidTr="001422B7">
        <w:tc>
          <w:tcPr>
            <w:tcW w:w="2808" w:type="dxa"/>
          </w:tcPr>
          <w:p w14:paraId="53C632E8" w14:textId="77777777" w:rsidR="001422B7" w:rsidRDefault="001422B7" w:rsidP="00301F15">
            <w:r>
              <w:t>Shelter / Services</w:t>
            </w:r>
          </w:p>
          <w:p w14:paraId="759BDBC0" w14:textId="77777777" w:rsidR="001422B7" w:rsidRDefault="001422B7" w:rsidP="00301F15">
            <w:r>
              <w:t>Shelter / Operations</w:t>
            </w:r>
          </w:p>
          <w:p w14:paraId="774A3D0C" w14:textId="77777777" w:rsidR="001422B7" w:rsidRDefault="001422B7" w:rsidP="00301F15">
            <w:r>
              <w:t>Shelter / Motel Vouchers</w:t>
            </w:r>
          </w:p>
          <w:p w14:paraId="08FFDA47" w14:textId="39959483" w:rsidR="001422B7" w:rsidRDefault="001422B7" w:rsidP="00301F15">
            <w:r>
              <w:t>Shelter / Rehabilitation</w:t>
            </w:r>
          </w:p>
        </w:tc>
        <w:tc>
          <w:tcPr>
            <w:tcW w:w="3420" w:type="dxa"/>
          </w:tcPr>
          <w:p w14:paraId="67BF113A" w14:textId="77777777" w:rsidR="001422B7" w:rsidRDefault="001422B7" w:rsidP="00301F15">
            <w:r>
              <w:t>Prevention / Housing Services</w:t>
            </w:r>
          </w:p>
          <w:p w14:paraId="2804BB82" w14:textId="77777777" w:rsidR="001422B7" w:rsidRDefault="001422B7" w:rsidP="00301F15">
            <w:r>
              <w:t>Prevention / Housing Payments</w:t>
            </w:r>
          </w:p>
          <w:p w14:paraId="589A311C" w14:textId="77777777" w:rsidR="001422B7" w:rsidRDefault="001422B7" w:rsidP="00301F15">
            <w:r>
              <w:t>RRH / Housing Services</w:t>
            </w:r>
          </w:p>
          <w:p w14:paraId="5A6590C3" w14:textId="165F7BE7" w:rsidR="001422B7" w:rsidRDefault="001422B7" w:rsidP="00301F15">
            <w:r>
              <w:t>RRH / Housing Payments</w:t>
            </w:r>
          </w:p>
        </w:tc>
        <w:tc>
          <w:tcPr>
            <w:tcW w:w="2250" w:type="dxa"/>
          </w:tcPr>
          <w:p w14:paraId="7BA5FA0E" w14:textId="77777777" w:rsidR="001422B7" w:rsidRDefault="001422B7" w:rsidP="001422B7">
            <w:r>
              <w:t>Outreach / Services</w:t>
            </w:r>
          </w:p>
          <w:p w14:paraId="6B53CEB5" w14:textId="535F9EE4" w:rsidR="001422B7" w:rsidRDefault="001422B7" w:rsidP="00301F15">
            <w:r>
              <w:t>Admin / Admin</w:t>
            </w:r>
          </w:p>
        </w:tc>
      </w:tr>
    </w:tbl>
    <w:p w14:paraId="45D583DB" w14:textId="77777777" w:rsidR="006973D2" w:rsidRDefault="006973D2" w:rsidP="0058357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700"/>
        <w:gridCol w:w="1620"/>
        <w:gridCol w:w="1710"/>
        <w:gridCol w:w="1746"/>
      </w:tblGrid>
      <w:tr w:rsidR="008E1B92" w:rsidRPr="008E1B92" w14:paraId="76D2B505" w14:textId="77777777" w:rsidTr="00C90ED7">
        <w:trPr>
          <w:trHeight w:val="291"/>
          <w:jc w:val="center"/>
        </w:trPr>
        <w:tc>
          <w:tcPr>
            <w:tcW w:w="2592" w:type="dxa"/>
            <w:vMerge w:val="restart"/>
            <w:shd w:val="clear" w:color="auto" w:fill="000000" w:themeFill="text1"/>
            <w:vAlign w:val="bottom"/>
            <w:hideMark/>
          </w:tcPr>
          <w:p w14:paraId="371B255A" w14:textId="77777777" w:rsidR="008E1B92" w:rsidRPr="008E1B92" w:rsidRDefault="008E1B92" w:rsidP="00C90ED7">
            <w:pPr>
              <w:spacing w:before="120"/>
              <w:rPr>
                <w:b/>
                <w:bCs/>
              </w:rPr>
            </w:pPr>
            <w:r w:rsidRPr="008E1B92">
              <w:rPr>
                <w:b/>
                <w:bCs/>
              </w:rPr>
              <w:t>Agency Name</w:t>
            </w:r>
          </w:p>
        </w:tc>
        <w:tc>
          <w:tcPr>
            <w:tcW w:w="2700" w:type="dxa"/>
            <w:vMerge w:val="restart"/>
            <w:shd w:val="clear" w:color="auto" w:fill="000000" w:themeFill="text1"/>
            <w:vAlign w:val="bottom"/>
            <w:hideMark/>
          </w:tcPr>
          <w:p w14:paraId="2774B388" w14:textId="77777777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Project Name</w:t>
            </w:r>
          </w:p>
        </w:tc>
        <w:tc>
          <w:tcPr>
            <w:tcW w:w="1620" w:type="dxa"/>
            <w:vMerge w:val="restart"/>
            <w:shd w:val="clear" w:color="auto" w:fill="000000" w:themeFill="text1"/>
            <w:vAlign w:val="bottom"/>
            <w:hideMark/>
          </w:tcPr>
          <w:p w14:paraId="431826F9" w14:textId="060A9CF1" w:rsidR="008E1B92" w:rsidRPr="008E1B92" w:rsidRDefault="008D4678" w:rsidP="008E1B92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8E1B92" w:rsidRPr="008E1B92">
              <w:rPr>
                <w:b/>
                <w:bCs/>
              </w:rPr>
              <w:t xml:space="preserve"> Type</w:t>
            </w:r>
          </w:p>
        </w:tc>
        <w:tc>
          <w:tcPr>
            <w:tcW w:w="1710" w:type="dxa"/>
            <w:vMerge w:val="restart"/>
            <w:shd w:val="clear" w:color="auto" w:fill="000000" w:themeFill="text1"/>
            <w:vAlign w:val="bottom"/>
            <w:hideMark/>
          </w:tcPr>
          <w:p w14:paraId="109BEBA3" w14:textId="7A449385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Activity</w:t>
            </w:r>
          </w:p>
        </w:tc>
        <w:tc>
          <w:tcPr>
            <w:tcW w:w="1746" w:type="dxa"/>
            <w:vMerge w:val="restart"/>
            <w:shd w:val="clear" w:color="auto" w:fill="000000" w:themeFill="text1"/>
            <w:vAlign w:val="bottom"/>
            <w:hideMark/>
          </w:tcPr>
          <w:p w14:paraId="48AB8323" w14:textId="77777777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Funding Request</w:t>
            </w:r>
          </w:p>
        </w:tc>
      </w:tr>
      <w:tr w:rsidR="008E1B92" w:rsidRPr="008E1B92" w14:paraId="715B2FC1" w14:textId="77777777" w:rsidTr="00C90ED7">
        <w:trPr>
          <w:trHeight w:val="291"/>
          <w:jc w:val="center"/>
        </w:trPr>
        <w:tc>
          <w:tcPr>
            <w:tcW w:w="2592" w:type="dxa"/>
            <w:vMerge/>
            <w:shd w:val="clear" w:color="auto" w:fill="000000" w:themeFill="text1"/>
            <w:hideMark/>
          </w:tcPr>
          <w:p w14:paraId="0C7782D2" w14:textId="77777777" w:rsidR="008E1B92" w:rsidRPr="008E1B92" w:rsidRDefault="008E1B92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  <w:shd w:val="clear" w:color="auto" w:fill="000000" w:themeFill="text1"/>
            <w:hideMark/>
          </w:tcPr>
          <w:p w14:paraId="5FE26B75" w14:textId="77777777" w:rsidR="008E1B92" w:rsidRPr="008E1B92" w:rsidRDefault="008E1B92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shd w:val="clear" w:color="auto" w:fill="000000" w:themeFill="text1"/>
            <w:hideMark/>
          </w:tcPr>
          <w:p w14:paraId="0C41580D" w14:textId="77777777" w:rsidR="008E1B92" w:rsidRPr="008E1B92" w:rsidRDefault="008E1B92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000000" w:themeFill="text1"/>
            <w:hideMark/>
          </w:tcPr>
          <w:p w14:paraId="41DB9774" w14:textId="77777777" w:rsidR="008E1B92" w:rsidRPr="008E1B92" w:rsidRDefault="008E1B92">
            <w:pPr>
              <w:rPr>
                <w:b/>
                <w:bCs/>
              </w:rPr>
            </w:pPr>
          </w:p>
        </w:tc>
        <w:tc>
          <w:tcPr>
            <w:tcW w:w="1746" w:type="dxa"/>
            <w:vMerge/>
            <w:shd w:val="clear" w:color="auto" w:fill="000000" w:themeFill="text1"/>
            <w:hideMark/>
          </w:tcPr>
          <w:p w14:paraId="204E27D7" w14:textId="77777777" w:rsidR="008E1B92" w:rsidRPr="008E1B92" w:rsidRDefault="008E1B92">
            <w:pPr>
              <w:rPr>
                <w:b/>
                <w:bCs/>
              </w:rPr>
            </w:pPr>
          </w:p>
        </w:tc>
      </w:tr>
      <w:tr w:rsidR="008E1B92" w:rsidRPr="008E1B92" w14:paraId="4FF82F6E" w14:textId="77777777" w:rsidTr="00C90ED7">
        <w:trPr>
          <w:trHeight w:val="315"/>
          <w:jc w:val="center"/>
        </w:trPr>
        <w:tc>
          <w:tcPr>
            <w:tcW w:w="2592" w:type="dxa"/>
            <w:noWrap/>
            <w:hideMark/>
          </w:tcPr>
          <w:p w14:paraId="5243F859" w14:textId="77777777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 </w:t>
            </w:r>
          </w:p>
        </w:tc>
        <w:tc>
          <w:tcPr>
            <w:tcW w:w="2700" w:type="dxa"/>
            <w:noWrap/>
            <w:hideMark/>
          </w:tcPr>
          <w:p w14:paraId="149B4447" w14:textId="77777777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23971862" w14:textId="77777777" w:rsidR="008E1B92" w:rsidRPr="008E1B92" w:rsidRDefault="008E1B92">
            <w:r w:rsidRPr="008E1B92">
              <w:t> </w:t>
            </w:r>
          </w:p>
        </w:tc>
        <w:tc>
          <w:tcPr>
            <w:tcW w:w="1710" w:type="dxa"/>
            <w:noWrap/>
            <w:hideMark/>
          </w:tcPr>
          <w:p w14:paraId="768F311A" w14:textId="77777777" w:rsidR="008E1B92" w:rsidRPr="008E1B92" w:rsidRDefault="008E1B92">
            <w:r w:rsidRPr="008E1B92">
              <w:t> </w:t>
            </w:r>
          </w:p>
        </w:tc>
        <w:tc>
          <w:tcPr>
            <w:tcW w:w="1746" w:type="dxa"/>
            <w:noWrap/>
            <w:hideMark/>
          </w:tcPr>
          <w:p w14:paraId="6E5BB9EA" w14:textId="77777777" w:rsidR="008E1B92" w:rsidRPr="008E1B92" w:rsidRDefault="008E1B92" w:rsidP="008E1B92">
            <w:r w:rsidRPr="008E1B92">
              <w:t> </w:t>
            </w:r>
          </w:p>
        </w:tc>
      </w:tr>
      <w:tr w:rsidR="008E1B92" w:rsidRPr="008E1B92" w14:paraId="5C8677E0" w14:textId="77777777" w:rsidTr="00C90ED7">
        <w:trPr>
          <w:trHeight w:val="315"/>
          <w:jc w:val="center"/>
        </w:trPr>
        <w:tc>
          <w:tcPr>
            <w:tcW w:w="2592" w:type="dxa"/>
            <w:noWrap/>
            <w:hideMark/>
          </w:tcPr>
          <w:p w14:paraId="7F407EAD" w14:textId="77777777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 </w:t>
            </w:r>
          </w:p>
        </w:tc>
        <w:tc>
          <w:tcPr>
            <w:tcW w:w="2700" w:type="dxa"/>
            <w:noWrap/>
            <w:hideMark/>
          </w:tcPr>
          <w:p w14:paraId="6848AC61" w14:textId="77777777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4709F70E" w14:textId="77777777" w:rsidR="008E1B92" w:rsidRPr="008E1B92" w:rsidRDefault="008E1B92">
            <w:r w:rsidRPr="008E1B92">
              <w:t> </w:t>
            </w:r>
          </w:p>
        </w:tc>
        <w:tc>
          <w:tcPr>
            <w:tcW w:w="1710" w:type="dxa"/>
            <w:noWrap/>
            <w:hideMark/>
          </w:tcPr>
          <w:p w14:paraId="6457AA8D" w14:textId="77777777" w:rsidR="008E1B92" w:rsidRPr="008E1B92" w:rsidRDefault="008E1B92">
            <w:r w:rsidRPr="008E1B92">
              <w:t> </w:t>
            </w:r>
          </w:p>
        </w:tc>
        <w:tc>
          <w:tcPr>
            <w:tcW w:w="1746" w:type="dxa"/>
            <w:noWrap/>
            <w:hideMark/>
          </w:tcPr>
          <w:p w14:paraId="1236D498" w14:textId="77777777" w:rsidR="008E1B92" w:rsidRPr="008E1B92" w:rsidRDefault="008E1B92" w:rsidP="008E1B92">
            <w:r w:rsidRPr="008E1B92">
              <w:t> </w:t>
            </w:r>
          </w:p>
        </w:tc>
      </w:tr>
      <w:tr w:rsidR="008E1B92" w:rsidRPr="008E1B92" w14:paraId="65FFB992" w14:textId="77777777" w:rsidTr="00C90ED7">
        <w:trPr>
          <w:trHeight w:val="315"/>
          <w:jc w:val="center"/>
        </w:trPr>
        <w:tc>
          <w:tcPr>
            <w:tcW w:w="2592" w:type="dxa"/>
            <w:noWrap/>
            <w:hideMark/>
          </w:tcPr>
          <w:p w14:paraId="2DB1B01B" w14:textId="77777777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 </w:t>
            </w:r>
          </w:p>
        </w:tc>
        <w:tc>
          <w:tcPr>
            <w:tcW w:w="2700" w:type="dxa"/>
            <w:noWrap/>
            <w:hideMark/>
          </w:tcPr>
          <w:p w14:paraId="14BDCC96" w14:textId="77777777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505E42A0" w14:textId="77777777" w:rsidR="008E1B92" w:rsidRPr="008E1B92" w:rsidRDefault="008E1B92">
            <w:r w:rsidRPr="008E1B92">
              <w:t> </w:t>
            </w:r>
          </w:p>
        </w:tc>
        <w:tc>
          <w:tcPr>
            <w:tcW w:w="1710" w:type="dxa"/>
            <w:noWrap/>
            <w:hideMark/>
          </w:tcPr>
          <w:p w14:paraId="4B2ECD70" w14:textId="77777777" w:rsidR="008E1B92" w:rsidRPr="008E1B92" w:rsidRDefault="008E1B92">
            <w:r w:rsidRPr="008E1B92">
              <w:t> </w:t>
            </w:r>
          </w:p>
        </w:tc>
        <w:tc>
          <w:tcPr>
            <w:tcW w:w="1746" w:type="dxa"/>
            <w:noWrap/>
            <w:hideMark/>
          </w:tcPr>
          <w:p w14:paraId="5D8C2F4E" w14:textId="77777777" w:rsidR="008E1B92" w:rsidRPr="008E1B92" w:rsidRDefault="008E1B92" w:rsidP="008E1B92">
            <w:r w:rsidRPr="008E1B92">
              <w:t> </w:t>
            </w:r>
          </w:p>
        </w:tc>
      </w:tr>
      <w:tr w:rsidR="00511EE5" w:rsidRPr="008E1B92" w14:paraId="56A77B66" w14:textId="77777777" w:rsidTr="00C90ED7">
        <w:trPr>
          <w:trHeight w:val="315"/>
          <w:jc w:val="center"/>
        </w:trPr>
        <w:tc>
          <w:tcPr>
            <w:tcW w:w="2592" w:type="dxa"/>
            <w:noWrap/>
          </w:tcPr>
          <w:p w14:paraId="6E73B3D8" w14:textId="77777777" w:rsidR="00511EE5" w:rsidRPr="008E1B92" w:rsidRDefault="00511EE5" w:rsidP="008E1B92">
            <w:pPr>
              <w:rPr>
                <w:b/>
                <w:bCs/>
              </w:rPr>
            </w:pPr>
          </w:p>
        </w:tc>
        <w:tc>
          <w:tcPr>
            <w:tcW w:w="2700" w:type="dxa"/>
            <w:noWrap/>
          </w:tcPr>
          <w:p w14:paraId="67C75A5B" w14:textId="77777777" w:rsidR="00511EE5" w:rsidRPr="008E1B92" w:rsidRDefault="00511EE5" w:rsidP="008E1B92">
            <w:pPr>
              <w:rPr>
                <w:b/>
                <w:bCs/>
              </w:rPr>
            </w:pPr>
          </w:p>
        </w:tc>
        <w:tc>
          <w:tcPr>
            <w:tcW w:w="1620" w:type="dxa"/>
            <w:noWrap/>
          </w:tcPr>
          <w:p w14:paraId="65E23CAF" w14:textId="77777777" w:rsidR="00511EE5" w:rsidRPr="008E1B92" w:rsidRDefault="00511EE5"/>
        </w:tc>
        <w:tc>
          <w:tcPr>
            <w:tcW w:w="1710" w:type="dxa"/>
            <w:noWrap/>
          </w:tcPr>
          <w:p w14:paraId="333EE76F" w14:textId="77777777" w:rsidR="00511EE5" w:rsidRPr="008E1B92" w:rsidRDefault="00511EE5"/>
        </w:tc>
        <w:tc>
          <w:tcPr>
            <w:tcW w:w="1746" w:type="dxa"/>
            <w:noWrap/>
          </w:tcPr>
          <w:p w14:paraId="0F414958" w14:textId="77777777" w:rsidR="00511EE5" w:rsidRPr="008E1B92" w:rsidRDefault="00511EE5" w:rsidP="008E1B92"/>
        </w:tc>
      </w:tr>
      <w:tr w:rsidR="00511EE5" w:rsidRPr="008E1B92" w14:paraId="43FAA774" w14:textId="77777777" w:rsidTr="00C90ED7">
        <w:trPr>
          <w:trHeight w:val="315"/>
          <w:jc w:val="center"/>
        </w:trPr>
        <w:tc>
          <w:tcPr>
            <w:tcW w:w="2592" w:type="dxa"/>
            <w:noWrap/>
          </w:tcPr>
          <w:p w14:paraId="6C5D6E53" w14:textId="77777777" w:rsidR="00511EE5" w:rsidRPr="008E1B92" w:rsidRDefault="00511EE5" w:rsidP="008E1B92">
            <w:pPr>
              <w:rPr>
                <w:b/>
                <w:bCs/>
              </w:rPr>
            </w:pPr>
          </w:p>
        </w:tc>
        <w:tc>
          <w:tcPr>
            <w:tcW w:w="2700" w:type="dxa"/>
            <w:noWrap/>
          </w:tcPr>
          <w:p w14:paraId="575E4D41" w14:textId="77777777" w:rsidR="00511EE5" w:rsidRPr="008E1B92" w:rsidRDefault="00511EE5" w:rsidP="008E1B92">
            <w:pPr>
              <w:rPr>
                <w:b/>
                <w:bCs/>
              </w:rPr>
            </w:pPr>
          </w:p>
        </w:tc>
        <w:tc>
          <w:tcPr>
            <w:tcW w:w="1620" w:type="dxa"/>
            <w:noWrap/>
          </w:tcPr>
          <w:p w14:paraId="57C68E0E" w14:textId="77777777" w:rsidR="00511EE5" w:rsidRPr="008E1B92" w:rsidRDefault="00511EE5"/>
        </w:tc>
        <w:tc>
          <w:tcPr>
            <w:tcW w:w="1710" w:type="dxa"/>
            <w:noWrap/>
          </w:tcPr>
          <w:p w14:paraId="774487F3" w14:textId="77777777" w:rsidR="00511EE5" w:rsidRPr="008E1B92" w:rsidRDefault="00511EE5"/>
        </w:tc>
        <w:tc>
          <w:tcPr>
            <w:tcW w:w="1746" w:type="dxa"/>
            <w:noWrap/>
          </w:tcPr>
          <w:p w14:paraId="1B205F74" w14:textId="77777777" w:rsidR="00511EE5" w:rsidRPr="008E1B92" w:rsidRDefault="00511EE5" w:rsidP="008E1B92"/>
        </w:tc>
      </w:tr>
      <w:tr w:rsidR="008E1B92" w:rsidRPr="008E1B92" w14:paraId="0D976C2F" w14:textId="77777777" w:rsidTr="00C90ED7">
        <w:trPr>
          <w:trHeight w:val="315"/>
          <w:jc w:val="center"/>
        </w:trPr>
        <w:tc>
          <w:tcPr>
            <w:tcW w:w="2592" w:type="dxa"/>
            <w:noWrap/>
            <w:hideMark/>
          </w:tcPr>
          <w:p w14:paraId="1E7F0802" w14:textId="77777777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 </w:t>
            </w:r>
          </w:p>
        </w:tc>
        <w:tc>
          <w:tcPr>
            <w:tcW w:w="2700" w:type="dxa"/>
            <w:noWrap/>
            <w:hideMark/>
          </w:tcPr>
          <w:p w14:paraId="0A62F2C5" w14:textId="77777777" w:rsidR="008E1B92" w:rsidRPr="008E1B92" w:rsidRDefault="008E1B92" w:rsidP="008E1B92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 </w:t>
            </w:r>
          </w:p>
        </w:tc>
        <w:tc>
          <w:tcPr>
            <w:tcW w:w="1620" w:type="dxa"/>
            <w:noWrap/>
            <w:hideMark/>
          </w:tcPr>
          <w:p w14:paraId="11083255" w14:textId="77777777" w:rsidR="008E1B92" w:rsidRPr="008E1B92" w:rsidRDefault="008E1B92">
            <w:r w:rsidRPr="008E1B92">
              <w:t> </w:t>
            </w:r>
          </w:p>
        </w:tc>
        <w:tc>
          <w:tcPr>
            <w:tcW w:w="1710" w:type="dxa"/>
            <w:noWrap/>
            <w:hideMark/>
          </w:tcPr>
          <w:p w14:paraId="027F944A" w14:textId="77777777" w:rsidR="008E1B92" w:rsidRPr="008E1B92" w:rsidRDefault="008E1B92">
            <w:r w:rsidRPr="008E1B92">
              <w:t> </w:t>
            </w:r>
          </w:p>
        </w:tc>
        <w:tc>
          <w:tcPr>
            <w:tcW w:w="1746" w:type="dxa"/>
            <w:noWrap/>
            <w:hideMark/>
          </w:tcPr>
          <w:p w14:paraId="73689134" w14:textId="77777777" w:rsidR="008E1B92" w:rsidRPr="008E1B92" w:rsidRDefault="008E1B92" w:rsidP="008E1B92">
            <w:r w:rsidRPr="008E1B92">
              <w:t> </w:t>
            </w:r>
          </w:p>
        </w:tc>
      </w:tr>
    </w:tbl>
    <w:p w14:paraId="22D2AFD2" w14:textId="77777777" w:rsidR="007402EF" w:rsidRDefault="007402EF" w:rsidP="007402EF">
      <w:r w:rsidRPr="00ED0326">
        <w:rPr>
          <w:b/>
        </w:rPr>
        <w:t>Don’t put anything from this table in your Consolidated Budget</w:t>
      </w:r>
      <w:r>
        <w:t>. If your COC is awarded the Special Allocation, the data in this table will be incorporated into your budget by the EHH Program Manager.</w:t>
      </w:r>
    </w:p>
    <w:p w14:paraId="2DF31AE6" w14:textId="77777777" w:rsidR="007402EF" w:rsidRDefault="007402EF" w:rsidP="005835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D035AE" w:rsidRPr="00110156" w14:paraId="2610F572" w14:textId="77777777" w:rsidTr="00ED0326">
        <w:trPr>
          <w:jc w:val="center"/>
        </w:trPr>
        <w:tc>
          <w:tcPr>
            <w:tcW w:w="10377" w:type="dxa"/>
            <w:shd w:val="clear" w:color="auto" w:fill="000000"/>
          </w:tcPr>
          <w:p w14:paraId="23C3B55A" w14:textId="59312B54" w:rsidR="00D035AE" w:rsidRPr="00110156" w:rsidRDefault="00D035AE" w:rsidP="00D9612F">
            <w:pPr>
              <w:pStyle w:val="ListParagraph"/>
              <w:numPr>
                <w:ilvl w:val="0"/>
                <w:numId w:val="20"/>
              </w:numPr>
            </w:pPr>
            <w:r>
              <w:t>How will t</w:t>
            </w:r>
            <w:r w:rsidR="008D4678">
              <w:t xml:space="preserve">his project </w:t>
            </w:r>
            <w:r>
              <w:t>help your COC improve system performance as described in Part 1 Question A?</w:t>
            </w:r>
            <w:r w:rsidR="003E14A1">
              <w:t xml:space="preserve"> </w:t>
            </w:r>
            <w:r w:rsidRPr="00110156">
              <w:t xml:space="preserve"> </w:t>
            </w:r>
          </w:p>
        </w:tc>
      </w:tr>
      <w:tr w:rsidR="00D035AE" w:rsidRPr="00110156" w14:paraId="642E2D2A" w14:textId="77777777" w:rsidTr="000204A2">
        <w:trPr>
          <w:trHeight w:val="1440"/>
          <w:jc w:val="center"/>
        </w:trPr>
        <w:tc>
          <w:tcPr>
            <w:tcW w:w="10377" w:type="dxa"/>
            <w:shd w:val="clear" w:color="auto" w:fill="auto"/>
          </w:tcPr>
          <w:p w14:paraId="14B0F831" w14:textId="77777777" w:rsidR="00D035AE" w:rsidRPr="00110156" w:rsidRDefault="00D035AE" w:rsidP="00512155">
            <w:pPr>
              <w:spacing w:before="120"/>
            </w:pPr>
          </w:p>
        </w:tc>
      </w:tr>
    </w:tbl>
    <w:p w14:paraId="197FB95F" w14:textId="5D9D2BCB" w:rsidR="009D7EC5" w:rsidRPr="00583575" w:rsidRDefault="009D7EC5" w:rsidP="005835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9D7EC5" w:rsidRPr="00110156" w14:paraId="4F971E70" w14:textId="77777777" w:rsidTr="00822DAB">
        <w:trPr>
          <w:jc w:val="center"/>
        </w:trPr>
        <w:tc>
          <w:tcPr>
            <w:tcW w:w="10377" w:type="dxa"/>
            <w:shd w:val="clear" w:color="auto" w:fill="000000"/>
          </w:tcPr>
          <w:p w14:paraId="53F74176" w14:textId="75388D56" w:rsidR="009D7EC5" w:rsidRPr="00110156" w:rsidRDefault="009D7EC5" w:rsidP="00D9612F">
            <w:pPr>
              <w:pStyle w:val="ListParagraph"/>
              <w:numPr>
                <w:ilvl w:val="0"/>
                <w:numId w:val="20"/>
              </w:numPr>
            </w:pPr>
            <w:r>
              <w:t>How will you assess the outcomes of your Special Allocation project? Develop at least one outcome measure and explain how you will track it.</w:t>
            </w:r>
          </w:p>
        </w:tc>
      </w:tr>
      <w:tr w:rsidR="009D7EC5" w:rsidRPr="00110156" w14:paraId="49DAFC77" w14:textId="77777777" w:rsidTr="000204A2">
        <w:trPr>
          <w:trHeight w:val="1440"/>
          <w:jc w:val="center"/>
        </w:trPr>
        <w:tc>
          <w:tcPr>
            <w:tcW w:w="10377" w:type="dxa"/>
            <w:shd w:val="clear" w:color="auto" w:fill="auto"/>
          </w:tcPr>
          <w:p w14:paraId="4CB4A998" w14:textId="77777777" w:rsidR="009D7EC5" w:rsidRPr="00110156" w:rsidRDefault="009D7EC5" w:rsidP="00512155">
            <w:pPr>
              <w:spacing w:before="120"/>
            </w:pPr>
          </w:p>
        </w:tc>
      </w:tr>
    </w:tbl>
    <w:p w14:paraId="33416FA6" w14:textId="6638304C" w:rsidR="009D7EC5" w:rsidRPr="00583575" w:rsidRDefault="009D7EC5" w:rsidP="009C46C1">
      <w:pPr>
        <w:spacing w:before="120"/>
      </w:pPr>
    </w:p>
    <w:sectPr w:rsidR="009D7EC5" w:rsidRPr="00583575" w:rsidSect="00E43748"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BFDB" w14:textId="77777777" w:rsidR="00260C9D" w:rsidRDefault="00260C9D" w:rsidP="00520C51">
      <w:r>
        <w:separator/>
      </w:r>
    </w:p>
  </w:endnote>
  <w:endnote w:type="continuationSeparator" w:id="0">
    <w:p w14:paraId="000BFBDA" w14:textId="77777777" w:rsidR="00260C9D" w:rsidRDefault="00260C9D" w:rsidP="0052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2555119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314E88" w14:textId="40CA8E06" w:rsidR="000204A2" w:rsidRPr="000204A2" w:rsidRDefault="000204A2">
            <w:pPr>
              <w:pStyle w:val="Footer"/>
              <w:jc w:val="right"/>
              <w:rPr>
                <w:sz w:val="18"/>
              </w:rPr>
            </w:pPr>
            <w:r w:rsidRPr="000204A2">
              <w:rPr>
                <w:sz w:val="18"/>
              </w:rPr>
              <w:t xml:space="preserve">Page </w:t>
            </w:r>
            <w:r w:rsidRPr="000204A2">
              <w:rPr>
                <w:b/>
                <w:bCs/>
                <w:sz w:val="20"/>
                <w:szCs w:val="24"/>
              </w:rPr>
              <w:fldChar w:fldCharType="begin"/>
            </w:r>
            <w:r w:rsidRPr="000204A2">
              <w:rPr>
                <w:b/>
                <w:bCs/>
                <w:sz w:val="18"/>
              </w:rPr>
              <w:instrText xml:space="preserve"> PAGE </w:instrText>
            </w:r>
            <w:r w:rsidRPr="000204A2">
              <w:rPr>
                <w:b/>
                <w:bCs/>
                <w:sz w:val="20"/>
                <w:szCs w:val="24"/>
              </w:rPr>
              <w:fldChar w:fldCharType="separate"/>
            </w:r>
            <w:r w:rsidRPr="000204A2">
              <w:rPr>
                <w:b/>
                <w:bCs/>
                <w:noProof/>
                <w:sz w:val="18"/>
              </w:rPr>
              <w:t>2</w:t>
            </w:r>
            <w:r w:rsidRPr="000204A2">
              <w:rPr>
                <w:b/>
                <w:bCs/>
                <w:sz w:val="20"/>
                <w:szCs w:val="24"/>
              </w:rPr>
              <w:fldChar w:fldCharType="end"/>
            </w:r>
            <w:r w:rsidRPr="000204A2">
              <w:rPr>
                <w:sz w:val="18"/>
              </w:rPr>
              <w:t xml:space="preserve"> of </w:t>
            </w:r>
            <w:r w:rsidRPr="000204A2">
              <w:rPr>
                <w:b/>
                <w:bCs/>
                <w:sz w:val="20"/>
                <w:szCs w:val="24"/>
              </w:rPr>
              <w:fldChar w:fldCharType="begin"/>
            </w:r>
            <w:r w:rsidRPr="000204A2">
              <w:rPr>
                <w:b/>
                <w:bCs/>
                <w:sz w:val="18"/>
              </w:rPr>
              <w:instrText xml:space="preserve"> NUMPAGES  </w:instrText>
            </w:r>
            <w:r w:rsidRPr="000204A2">
              <w:rPr>
                <w:b/>
                <w:bCs/>
                <w:sz w:val="20"/>
                <w:szCs w:val="24"/>
              </w:rPr>
              <w:fldChar w:fldCharType="separate"/>
            </w:r>
            <w:r w:rsidRPr="000204A2">
              <w:rPr>
                <w:b/>
                <w:bCs/>
                <w:noProof/>
                <w:sz w:val="18"/>
              </w:rPr>
              <w:t>2</w:t>
            </w:r>
            <w:r w:rsidRPr="000204A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EE8CDDF" w14:textId="45774027" w:rsidR="00107366" w:rsidRPr="003E14A1" w:rsidRDefault="000204A2" w:rsidP="00520C51">
    <w:pPr>
      <w:pStyle w:val="Footer"/>
      <w:rPr>
        <w:sz w:val="18"/>
        <w:szCs w:val="18"/>
      </w:rPr>
    </w:pPr>
    <w:r>
      <w:rPr>
        <w:sz w:val="18"/>
        <w:szCs w:val="18"/>
      </w:rPr>
      <w:t>2019-2020 EHH Application – Continuum Performance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C19F" w14:textId="77777777" w:rsidR="00260C9D" w:rsidRDefault="00260C9D" w:rsidP="00520C51">
      <w:r>
        <w:separator/>
      </w:r>
    </w:p>
  </w:footnote>
  <w:footnote w:type="continuationSeparator" w:id="0">
    <w:p w14:paraId="307B9D81" w14:textId="77777777" w:rsidR="00260C9D" w:rsidRDefault="00260C9D" w:rsidP="0052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6CE"/>
    <w:multiLevelType w:val="hybridMultilevel"/>
    <w:tmpl w:val="DE2CD6F6"/>
    <w:lvl w:ilvl="0" w:tplc="BB02C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1E1"/>
    <w:multiLevelType w:val="hybridMultilevel"/>
    <w:tmpl w:val="D4C6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0B2C"/>
    <w:multiLevelType w:val="hybridMultilevel"/>
    <w:tmpl w:val="70806718"/>
    <w:lvl w:ilvl="0" w:tplc="4A5C2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450"/>
    <w:multiLevelType w:val="hybridMultilevel"/>
    <w:tmpl w:val="6F929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2679"/>
    <w:multiLevelType w:val="hybridMultilevel"/>
    <w:tmpl w:val="BF4663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AA202B8">
      <w:start w:val="1"/>
      <w:numFmt w:val="lowerRoman"/>
      <w:lvlText w:val="%2."/>
      <w:lvlJc w:val="right"/>
      <w:pPr>
        <w:ind w:left="576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87989"/>
    <w:multiLevelType w:val="hybridMultilevel"/>
    <w:tmpl w:val="98601BC4"/>
    <w:lvl w:ilvl="0" w:tplc="4C8E52B6">
      <w:start w:val="1"/>
      <w:numFmt w:val="lowerRoman"/>
      <w:lvlText w:val="%1."/>
      <w:lvlJc w:val="right"/>
      <w:pPr>
        <w:ind w:left="288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4A2E3110">
      <w:start w:val="33"/>
      <w:numFmt w:val="bullet"/>
      <w:lvlText w:val="-"/>
      <w:lvlJc w:val="left"/>
      <w:pPr>
        <w:ind w:left="2052" w:hanging="360"/>
      </w:pPr>
      <w:rPr>
        <w:rFonts w:ascii="Arial" w:eastAsiaTheme="minorEastAsia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4655428"/>
    <w:multiLevelType w:val="hybridMultilevel"/>
    <w:tmpl w:val="7864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794B"/>
    <w:multiLevelType w:val="hybridMultilevel"/>
    <w:tmpl w:val="F8EAF504"/>
    <w:lvl w:ilvl="0" w:tplc="2D42AD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F3B24"/>
    <w:multiLevelType w:val="hybridMultilevel"/>
    <w:tmpl w:val="399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08AC"/>
    <w:multiLevelType w:val="hybridMultilevel"/>
    <w:tmpl w:val="7C02FCC4"/>
    <w:lvl w:ilvl="0" w:tplc="BA18C6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30AC4"/>
    <w:multiLevelType w:val="hybridMultilevel"/>
    <w:tmpl w:val="3D16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2F47BE"/>
    <w:multiLevelType w:val="hybridMultilevel"/>
    <w:tmpl w:val="62D2929E"/>
    <w:lvl w:ilvl="0" w:tplc="1F602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F1BD3"/>
    <w:multiLevelType w:val="hybridMultilevel"/>
    <w:tmpl w:val="95E63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56A3A"/>
    <w:multiLevelType w:val="hybridMultilevel"/>
    <w:tmpl w:val="9760BDE4"/>
    <w:lvl w:ilvl="0" w:tplc="1304F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54CF3"/>
    <w:multiLevelType w:val="hybridMultilevel"/>
    <w:tmpl w:val="16E24F5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B7169"/>
    <w:multiLevelType w:val="hybridMultilevel"/>
    <w:tmpl w:val="DE2CD6F6"/>
    <w:lvl w:ilvl="0" w:tplc="BB02C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6173"/>
    <w:multiLevelType w:val="hybridMultilevel"/>
    <w:tmpl w:val="67B29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D7A80"/>
    <w:multiLevelType w:val="hybridMultilevel"/>
    <w:tmpl w:val="8AB0EF7C"/>
    <w:lvl w:ilvl="0" w:tplc="337225A4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05C6"/>
    <w:multiLevelType w:val="hybridMultilevel"/>
    <w:tmpl w:val="3A1E00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E5660C0"/>
    <w:multiLevelType w:val="hybridMultilevel"/>
    <w:tmpl w:val="C99269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AE3056"/>
    <w:multiLevelType w:val="hybridMultilevel"/>
    <w:tmpl w:val="95E63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81572"/>
    <w:multiLevelType w:val="hybridMultilevel"/>
    <w:tmpl w:val="86EA4746"/>
    <w:lvl w:ilvl="0" w:tplc="05749C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25"/>
  </w:num>
  <w:num w:numId="5">
    <w:abstractNumId w:val="14"/>
  </w:num>
  <w:num w:numId="6">
    <w:abstractNumId w:val="13"/>
  </w:num>
  <w:num w:numId="7">
    <w:abstractNumId w:val="7"/>
  </w:num>
  <w:num w:numId="8">
    <w:abstractNumId w:val="3"/>
  </w:num>
  <w:num w:numId="9">
    <w:abstractNumId w:val="15"/>
  </w:num>
  <w:num w:numId="10">
    <w:abstractNumId w:val="24"/>
  </w:num>
  <w:num w:numId="11">
    <w:abstractNumId w:val="26"/>
  </w:num>
  <w:num w:numId="12">
    <w:abstractNumId w:val="19"/>
  </w:num>
  <w:num w:numId="13">
    <w:abstractNumId w:val="11"/>
  </w:num>
  <w:num w:numId="14">
    <w:abstractNumId w:val="21"/>
  </w:num>
  <w:num w:numId="15">
    <w:abstractNumId w:val="17"/>
  </w:num>
  <w:num w:numId="16">
    <w:abstractNumId w:val="16"/>
  </w:num>
  <w:num w:numId="17">
    <w:abstractNumId w:val="18"/>
  </w:num>
  <w:num w:numId="18">
    <w:abstractNumId w:val="8"/>
  </w:num>
  <w:num w:numId="19">
    <w:abstractNumId w:val="0"/>
  </w:num>
  <w:num w:numId="20">
    <w:abstractNumId w:val="5"/>
  </w:num>
  <w:num w:numId="21">
    <w:abstractNumId w:val="2"/>
  </w:num>
  <w:num w:numId="22">
    <w:abstractNumId w:val="9"/>
  </w:num>
  <w:num w:numId="23">
    <w:abstractNumId w:val="4"/>
  </w:num>
  <w:num w:numId="24">
    <w:abstractNumId w:val="22"/>
  </w:num>
  <w:num w:numId="25">
    <w:abstractNumId w:val="12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3D"/>
    <w:rsid w:val="00005BA1"/>
    <w:rsid w:val="00015E52"/>
    <w:rsid w:val="000204A2"/>
    <w:rsid w:val="00021E3C"/>
    <w:rsid w:val="00026F95"/>
    <w:rsid w:val="000519AE"/>
    <w:rsid w:val="00053CF2"/>
    <w:rsid w:val="000627E6"/>
    <w:rsid w:val="00065AA2"/>
    <w:rsid w:val="00066C54"/>
    <w:rsid w:val="0008268A"/>
    <w:rsid w:val="00091E6A"/>
    <w:rsid w:val="000A2267"/>
    <w:rsid w:val="000A3DE1"/>
    <w:rsid w:val="000A71F2"/>
    <w:rsid w:val="000C5172"/>
    <w:rsid w:val="000F122D"/>
    <w:rsid w:val="00105323"/>
    <w:rsid w:val="00106236"/>
    <w:rsid w:val="00107366"/>
    <w:rsid w:val="00110156"/>
    <w:rsid w:val="001166AE"/>
    <w:rsid w:val="001245C4"/>
    <w:rsid w:val="00126895"/>
    <w:rsid w:val="001422B7"/>
    <w:rsid w:val="00143299"/>
    <w:rsid w:val="001628D2"/>
    <w:rsid w:val="00174D31"/>
    <w:rsid w:val="0018293E"/>
    <w:rsid w:val="001A22A7"/>
    <w:rsid w:val="001C211D"/>
    <w:rsid w:val="001D6F8A"/>
    <w:rsid w:val="001F68ED"/>
    <w:rsid w:val="00202DF0"/>
    <w:rsid w:val="002030D5"/>
    <w:rsid w:val="00207880"/>
    <w:rsid w:val="00230F90"/>
    <w:rsid w:val="00233499"/>
    <w:rsid w:val="0023507E"/>
    <w:rsid w:val="00237CB1"/>
    <w:rsid w:val="00245A3C"/>
    <w:rsid w:val="0025250D"/>
    <w:rsid w:val="0025290A"/>
    <w:rsid w:val="00252E16"/>
    <w:rsid w:val="00260C9D"/>
    <w:rsid w:val="002640DA"/>
    <w:rsid w:val="00280CD9"/>
    <w:rsid w:val="002C2B64"/>
    <w:rsid w:val="002C7374"/>
    <w:rsid w:val="002E5B3E"/>
    <w:rsid w:val="002E7B0B"/>
    <w:rsid w:val="002F0D69"/>
    <w:rsid w:val="002F29F0"/>
    <w:rsid w:val="00301F15"/>
    <w:rsid w:val="00332165"/>
    <w:rsid w:val="003429B1"/>
    <w:rsid w:val="003435C2"/>
    <w:rsid w:val="00352761"/>
    <w:rsid w:val="00360204"/>
    <w:rsid w:val="00377999"/>
    <w:rsid w:val="00380DDC"/>
    <w:rsid w:val="0039502D"/>
    <w:rsid w:val="003950F8"/>
    <w:rsid w:val="003954FD"/>
    <w:rsid w:val="003A645D"/>
    <w:rsid w:val="003B189D"/>
    <w:rsid w:val="003B2589"/>
    <w:rsid w:val="003D7173"/>
    <w:rsid w:val="003E14A1"/>
    <w:rsid w:val="00400A66"/>
    <w:rsid w:val="004038E5"/>
    <w:rsid w:val="0040741C"/>
    <w:rsid w:val="004268CC"/>
    <w:rsid w:val="00450F64"/>
    <w:rsid w:val="00452863"/>
    <w:rsid w:val="004531D9"/>
    <w:rsid w:val="00475886"/>
    <w:rsid w:val="004774A8"/>
    <w:rsid w:val="00481AFE"/>
    <w:rsid w:val="004849E6"/>
    <w:rsid w:val="00490B1B"/>
    <w:rsid w:val="004B0F41"/>
    <w:rsid w:val="004C2E02"/>
    <w:rsid w:val="004C4ECE"/>
    <w:rsid w:val="004E531F"/>
    <w:rsid w:val="00511EE5"/>
    <w:rsid w:val="00512155"/>
    <w:rsid w:val="005158D9"/>
    <w:rsid w:val="00520B8C"/>
    <w:rsid w:val="00520C51"/>
    <w:rsid w:val="00534068"/>
    <w:rsid w:val="00543DD0"/>
    <w:rsid w:val="005517A1"/>
    <w:rsid w:val="00557621"/>
    <w:rsid w:val="005600AF"/>
    <w:rsid w:val="00563EF4"/>
    <w:rsid w:val="00571723"/>
    <w:rsid w:val="005768B3"/>
    <w:rsid w:val="00583575"/>
    <w:rsid w:val="00596FD5"/>
    <w:rsid w:val="005B0C7D"/>
    <w:rsid w:val="005B5DD6"/>
    <w:rsid w:val="005B6EE7"/>
    <w:rsid w:val="005C6965"/>
    <w:rsid w:val="005C6D85"/>
    <w:rsid w:val="005C7D93"/>
    <w:rsid w:val="0060348F"/>
    <w:rsid w:val="00614FE2"/>
    <w:rsid w:val="0064052F"/>
    <w:rsid w:val="00643ED7"/>
    <w:rsid w:val="006762EA"/>
    <w:rsid w:val="00681BF4"/>
    <w:rsid w:val="006973D2"/>
    <w:rsid w:val="006A1EBE"/>
    <w:rsid w:val="006A4DA8"/>
    <w:rsid w:val="006C5AB2"/>
    <w:rsid w:val="006F4929"/>
    <w:rsid w:val="0071249C"/>
    <w:rsid w:val="00731439"/>
    <w:rsid w:val="007402EF"/>
    <w:rsid w:val="00766CB2"/>
    <w:rsid w:val="00777E7C"/>
    <w:rsid w:val="007813FD"/>
    <w:rsid w:val="00786DB3"/>
    <w:rsid w:val="00796E5A"/>
    <w:rsid w:val="007A2723"/>
    <w:rsid w:val="007A7A79"/>
    <w:rsid w:val="007E78B9"/>
    <w:rsid w:val="007E7CFE"/>
    <w:rsid w:val="007F1F71"/>
    <w:rsid w:val="008079A8"/>
    <w:rsid w:val="00814F8B"/>
    <w:rsid w:val="00822446"/>
    <w:rsid w:val="008335A8"/>
    <w:rsid w:val="008457A1"/>
    <w:rsid w:val="0085155C"/>
    <w:rsid w:val="00851C7B"/>
    <w:rsid w:val="00882759"/>
    <w:rsid w:val="00887C12"/>
    <w:rsid w:val="0089544E"/>
    <w:rsid w:val="008B0E00"/>
    <w:rsid w:val="008C56E9"/>
    <w:rsid w:val="008C7BEE"/>
    <w:rsid w:val="008D4678"/>
    <w:rsid w:val="008D579F"/>
    <w:rsid w:val="008E1B92"/>
    <w:rsid w:val="008E7731"/>
    <w:rsid w:val="008F0EFD"/>
    <w:rsid w:val="008F692B"/>
    <w:rsid w:val="00900AAA"/>
    <w:rsid w:val="009030AF"/>
    <w:rsid w:val="00903614"/>
    <w:rsid w:val="0090404F"/>
    <w:rsid w:val="0092678B"/>
    <w:rsid w:val="0095159F"/>
    <w:rsid w:val="009546B7"/>
    <w:rsid w:val="0099743C"/>
    <w:rsid w:val="009B2F7C"/>
    <w:rsid w:val="009B55DE"/>
    <w:rsid w:val="009B6D22"/>
    <w:rsid w:val="009C28BC"/>
    <w:rsid w:val="009C46C1"/>
    <w:rsid w:val="009D2CF4"/>
    <w:rsid w:val="009D4635"/>
    <w:rsid w:val="009D7EC5"/>
    <w:rsid w:val="009E6196"/>
    <w:rsid w:val="00A12DF0"/>
    <w:rsid w:val="00A2758D"/>
    <w:rsid w:val="00A27646"/>
    <w:rsid w:val="00A46601"/>
    <w:rsid w:val="00A54147"/>
    <w:rsid w:val="00A57C3C"/>
    <w:rsid w:val="00A61289"/>
    <w:rsid w:val="00A727C5"/>
    <w:rsid w:val="00A8626A"/>
    <w:rsid w:val="00AB2C19"/>
    <w:rsid w:val="00AD3331"/>
    <w:rsid w:val="00AD3687"/>
    <w:rsid w:val="00AE592B"/>
    <w:rsid w:val="00AE5BD6"/>
    <w:rsid w:val="00AE7092"/>
    <w:rsid w:val="00AF120E"/>
    <w:rsid w:val="00AF5E98"/>
    <w:rsid w:val="00AF7592"/>
    <w:rsid w:val="00B026ED"/>
    <w:rsid w:val="00B036BE"/>
    <w:rsid w:val="00B35A06"/>
    <w:rsid w:val="00B35F76"/>
    <w:rsid w:val="00B42195"/>
    <w:rsid w:val="00B55D18"/>
    <w:rsid w:val="00B55EBC"/>
    <w:rsid w:val="00B66722"/>
    <w:rsid w:val="00B67FDC"/>
    <w:rsid w:val="00B74F27"/>
    <w:rsid w:val="00B759A3"/>
    <w:rsid w:val="00BA36E3"/>
    <w:rsid w:val="00BB2742"/>
    <w:rsid w:val="00BB576A"/>
    <w:rsid w:val="00BD65FE"/>
    <w:rsid w:val="00BE073D"/>
    <w:rsid w:val="00BF2468"/>
    <w:rsid w:val="00C02D59"/>
    <w:rsid w:val="00C037FB"/>
    <w:rsid w:val="00C21C58"/>
    <w:rsid w:val="00C351A8"/>
    <w:rsid w:val="00C43909"/>
    <w:rsid w:val="00C67B65"/>
    <w:rsid w:val="00C746CA"/>
    <w:rsid w:val="00C75781"/>
    <w:rsid w:val="00C87B26"/>
    <w:rsid w:val="00C90ED7"/>
    <w:rsid w:val="00C933A6"/>
    <w:rsid w:val="00C96F6B"/>
    <w:rsid w:val="00CC3B0C"/>
    <w:rsid w:val="00CD54F5"/>
    <w:rsid w:val="00CD6C09"/>
    <w:rsid w:val="00CD7695"/>
    <w:rsid w:val="00CE58FD"/>
    <w:rsid w:val="00CF1C22"/>
    <w:rsid w:val="00D02483"/>
    <w:rsid w:val="00D035AE"/>
    <w:rsid w:val="00D139E5"/>
    <w:rsid w:val="00D15F2B"/>
    <w:rsid w:val="00D2390B"/>
    <w:rsid w:val="00D31E4D"/>
    <w:rsid w:val="00D35DB5"/>
    <w:rsid w:val="00D6157F"/>
    <w:rsid w:val="00D855B3"/>
    <w:rsid w:val="00D91F66"/>
    <w:rsid w:val="00D9612F"/>
    <w:rsid w:val="00DA1288"/>
    <w:rsid w:val="00DA7A71"/>
    <w:rsid w:val="00DA7B0F"/>
    <w:rsid w:val="00DE0E56"/>
    <w:rsid w:val="00DE2F5A"/>
    <w:rsid w:val="00DE4149"/>
    <w:rsid w:val="00E01A2C"/>
    <w:rsid w:val="00E04C4A"/>
    <w:rsid w:val="00E236AB"/>
    <w:rsid w:val="00E24A6B"/>
    <w:rsid w:val="00E43748"/>
    <w:rsid w:val="00E52609"/>
    <w:rsid w:val="00E52B7C"/>
    <w:rsid w:val="00E6102A"/>
    <w:rsid w:val="00E778D4"/>
    <w:rsid w:val="00E93EE3"/>
    <w:rsid w:val="00E94C91"/>
    <w:rsid w:val="00EA0A96"/>
    <w:rsid w:val="00EA78AC"/>
    <w:rsid w:val="00EB5F88"/>
    <w:rsid w:val="00EC3906"/>
    <w:rsid w:val="00EC3ACD"/>
    <w:rsid w:val="00ED0326"/>
    <w:rsid w:val="00EE0234"/>
    <w:rsid w:val="00F012D1"/>
    <w:rsid w:val="00F01B79"/>
    <w:rsid w:val="00F13E31"/>
    <w:rsid w:val="00F2031C"/>
    <w:rsid w:val="00F32971"/>
    <w:rsid w:val="00F34FD9"/>
    <w:rsid w:val="00F36128"/>
    <w:rsid w:val="00F636A6"/>
    <w:rsid w:val="00F66B6E"/>
    <w:rsid w:val="00F703C3"/>
    <w:rsid w:val="00F82F3D"/>
    <w:rsid w:val="00FB7B2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EB9CD1E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C51"/>
    <w:pPr>
      <w:tabs>
        <w:tab w:val="left" w:pos="907"/>
      </w:tabs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DF0"/>
    <w:pPr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E5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E5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E5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E5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E5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E5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E5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E5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F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906"/>
  </w:style>
  <w:style w:type="character" w:customStyle="1" w:styleId="FooterChar">
    <w:name w:val="Footer Char"/>
    <w:link w:val="Footer"/>
    <w:uiPriority w:val="99"/>
    <w:rsid w:val="00B55EB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15E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F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E61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1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1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196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4F27"/>
    <w:pPr>
      <w:pBdr>
        <w:bottom w:val="single" w:sz="4" w:space="1" w:color="auto"/>
      </w:pBdr>
      <w:contextualSpacing/>
      <w:jc w:val="center"/>
    </w:pPr>
    <w:rPr>
      <w:rFonts w:ascii="Verdana" w:eastAsiaTheme="majorEastAsia" w:hAnsi="Verdana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74F27"/>
    <w:rPr>
      <w:rFonts w:ascii="Verdana" w:eastAsiaTheme="majorEastAsia" w:hAnsi="Verdana" w:cs="Arial"/>
      <w:b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2DF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E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E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15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E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E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E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E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E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10156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E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E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5E52"/>
    <w:rPr>
      <w:b/>
      <w:bCs/>
    </w:rPr>
  </w:style>
  <w:style w:type="character" w:styleId="Emphasis">
    <w:name w:val="Emphasis"/>
    <w:uiPriority w:val="20"/>
    <w:qFormat/>
    <w:rsid w:val="00015E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5E5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5E5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E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E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E52"/>
    <w:rPr>
      <w:b/>
      <w:bCs/>
      <w:i/>
      <w:iCs/>
    </w:rPr>
  </w:style>
  <w:style w:type="character" w:styleId="SubtleEmphasis">
    <w:name w:val="Subtle Emphasis"/>
    <w:uiPriority w:val="19"/>
    <w:qFormat/>
    <w:rsid w:val="00015E52"/>
    <w:rPr>
      <w:i/>
      <w:iCs/>
    </w:rPr>
  </w:style>
  <w:style w:type="character" w:styleId="IntenseEmphasis">
    <w:name w:val="Intense Emphasis"/>
    <w:uiPriority w:val="21"/>
    <w:qFormat/>
    <w:rsid w:val="00015E52"/>
    <w:rPr>
      <w:b/>
      <w:bCs/>
    </w:rPr>
  </w:style>
  <w:style w:type="character" w:styleId="SubtleReference">
    <w:name w:val="Subtle Reference"/>
    <w:uiPriority w:val="31"/>
    <w:qFormat/>
    <w:rsid w:val="00015E52"/>
    <w:rPr>
      <w:smallCaps/>
    </w:rPr>
  </w:style>
  <w:style w:type="character" w:styleId="IntenseReference">
    <w:name w:val="Intense Reference"/>
    <w:uiPriority w:val="32"/>
    <w:qFormat/>
    <w:rsid w:val="00015E52"/>
    <w:rPr>
      <w:smallCaps/>
      <w:spacing w:val="5"/>
      <w:u w:val="single"/>
    </w:rPr>
  </w:style>
  <w:style w:type="character" w:styleId="BookTitle">
    <w:name w:val="Book Title"/>
    <w:uiPriority w:val="33"/>
    <w:qFormat/>
    <w:rsid w:val="00015E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E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33E6D4FPPFNA-223884491-2417</_dlc_DocId>
    <_dlc_DocIdUrl xmlns="bb65cc95-6d4e-4879-a879-9838761499af">
      <Url>https://doa.wi.gov/_layouts/15/DocIdRedir.aspx?ID=33E6D4FPPFNA-223884491-2417</Url>
      <Description>33E6D4FPPFNA-223884491-2417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745DE-D0B3-4904-9E25-5545715F8E06}"/>
</file>

<file path=customXml/itemProps2.xml><?xml version="1.0" encoding="utf-8"?>
<ds:datastoreItem xmlns:ds="http://schemas.openxmlformats.org/officeDocument/2006/customXml" ds:itemID="{4D48154C-B105-4F37-B3D2-59DE7020A702}"/>
</file>

<file path=customXml/itemProps3.xml><?xml version="1.0" encoding="utf-8"?>
<ds:datastoreItem xmlns:ds="http://schemas.openxmlformats.org/officeDocument/2006/customXml" ds:itemID="{834B0A82-BBDE-4B93-AE31-32B37F4E5F67}"/>
</file>

<file path=customXml/itemProps4.xml><?xml version="1.0" encoding="utf-8"?>
<ds:datastoreItem xmlns:ds="http://schemas.openxmlformats.org/officeDocument/2006/customXml" ds:itemID="{6EA9C33D-5614-41D9-9ECD-64AEDD4223E6}"/>
</file>

<file path=customXml/itemProps5.xml><?xml version="1.0" encoding="utf-8"?>
<ds:datastoreItem xmlns:ds="http://schemas.openxmlformats.org/officeDocument/2006/customXml" ds:itemID="{708D458E-96F4-4B39-B37A-7F1FEEE28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APPLICANT / FISCAL AGENT INFORMATION</vt:lpstr>
    </vt:vector>
  </TitlesOfParts>
  <Company>Wisconsin Department of Commerce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APPLICANT / FISCAL AGENT INFORMATION</dc:title>
  <dc:creator>Department of Commerce</dc:creator>
  <cp:lastModifiedBy>Isaak, Sarah - DOA</cp:lastModifiedBy>
  <cp:revision>43</cp:revision>
  <cp:lastPrinted>2017-04-27T20:29:00Z</cp:lastPrinted>
  <dcterms:created xsi:type="dcterms:W3CDTF">2018-02-28T15:33:00Z</dcterms:created>
  <dcterms:modified xsi:type="dcterms:W3CDTF">2019-02-19T16:15:00Z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38076014-5444-4b21-99fb-5496b94a2a7a</vt:lpwstr>
  </property>
</Properties>
</file>